
<file path=[Content_Types].xml><?xml version="1.0" encoding="utf-8"?>
<Types xmlns="http://schemas.openxmlformats.org/package/2006/content-types">
  <Override PartName="/_rels/.rels" ContentType="application/vnd.openxmlformats-package.relationships+xml"/>
  <Override PartName="/word/fontTable.xml" ContentType="application/vnd.openxmlformats-officedocument.wordprocessingml.fontTable+xml"/>
  <Override PartName="/word/_rels/document.xml.rels" ContentType="application/vnd.openxmlformats-package.relationships+xml"/>
  <Override PartName="/word/settings.xml" ContentType="application/vnd.openxmlformats-officedocument.wordprocessingml.settings+xml"/>
  <Override PartName="/word/media/image1.png" ContentType="image/png"/>
  <Override PartName="/word/styles.xml" ContentType="application/vnd.openxmlformats-officedocument.wordprocessingml.styles+xml"/>
  <Override PartName="/word/numbering.xml" ContentType="application/vnd.openxmlformats-officedocument.wordprocessingml.numbering+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ackground w:color="FFFFFF"/>
  <w:body>
    <w:p>
      <w:pPr>
        <w:pStyle w:val="Normal"/>
        <w:jc w:val="center"/>
        <w:rPr>
          <w:color w:val="C9211E"/>
          <w:sz w:val="10"/>
          <w:szCs w:val="10"/>
        </w:rPr>
      </w:pPr>
      <w:r>
        <w:rPr>
          <w:color w:val="C9211E"/>
          <w:sz w:val="10"/>
          <w:szCs w:val="10"/>
        </w:rPr>
      </w:r>
    </w:p>
    <w:p>
      <w:pPr>
        <w:pStyle w:val="Normal"/>
        <w:jc w:val="center"/>
        <w:rPr>
          <w:color w:val="C9211E"/>
          <w:sz w:val="10"/>
          <w:szCs w:val="10"/>
        </w:rPr>
      </w:pPr>
      <w:r>
        <w:rPr>
          <w:color w:val="C9211E"/>
          <w:sz w:val="10"/>
          <w:szCs w:val="10"/>
        </w:rPr>
      </w:r>
    </w:p>
    <w:p>
      <w:pPr>
        <w:pStyle w:val="Normal"/>
        <w:widowControl w:val="false"/>
        <w:spacing w:before="0" w:after="0"/>
        <w:contextualSpacing/>
        <w:rPr>
          <w:rFonts w:ascii="Arial" w:hAnsi="Arial" w:cs="Arial"/>
          <w:color w:val="C9211E"/>
          <w:sz w:val="10"/>
          <w:szCs w:val="10"/>
          <w:lang w:val="ru-RU" w:eastAsia="ru-RU"/>
        </w:rPr>
      </w:pPr>
      <w:r>
        <w:rPr>
          <w:rFonts w:cs="Arial" w:ascii="Arial" w:hAnsi="Arial"/>
          <w:color w:val="C9211E"/>
          <w:sz w:val="10"/>
          <w:szCs w:val="10"/>
          <w:lang w:val="ru-RU" w:eastAsia="ru-RU"/>
        </w:rPr>
        <w:drawing>
          <wp:anchor behindDoc="0" distT="0" distB="0" distL="114935" distR="114935" simplePos="0" locked="0" layoutInCell="1" allowOverlap="1" relativeHeight="2">
            <wp:simplePos x="0" y="0"/>
            <wp:positionH relativeFrom="column">
              <wp:posOffset>2231390</wp:posOffset>
            </wp:positionH>
            <wp:positionV relativeFrom="paragraph">
              <wp:posOffset>35560</wp:posOffset>
            </wp:positionV>
            <wp:extent cx="1653540" cy="532130"/>
            <wp:effectExtent l="0" t="0" r="0" b="0"/>
            <wp:wrapNone/>
            <wp:docPr id="1" name="Изображение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Изображение1" descr=""/>
                    <pic:cNvPicPr>
                      <a:picLocks noChangeAspect="1" noChangeArrowheads="1"/>
                    </pic:cNvPicPr>
                  </pic:nvPicPr>
                  <pic:blipFill>
                    <a:blip r:embed="rId2"/>
                    <a:srcRect l="-413" t="-1271" r="-413" b="-1271"/>
                    <a:stretch>
                      <a:fillRect/>
                    </a:stretch>
                  </pic:blipFill>
                  <pic:spPr bwMode="auto">
                    <a:xfrm>
                      <a:off x="0" y="0"/>
                      <a:ext cx="1653540" cy="532130"/>
                    </a:xfrm>
                    <a:prstGeom prst="rect">
                      <a:avLst/>
                    </a:prstGeom>
                  </pic:spPr>
                </pic:pic>
              </a:graphicData>
            </a:graphic>
          </wp:anchor>
        </w:drawing>
      </w:r>
    </w:p>
    <w:p>
      <w:pPr>
        <w:pStyle w:val="Normal"/>
        <w:widowControl w:val="false"/>
        <w:numPr>
          <w:ilvl w:val="0"/>
          <w:numId w:val="0"/>
        </w:numPr>
        <w:spacing w:before="0" w:after="0"/>
        <w:ind w:left="0" w:right="0" w:hanging="0"/>
        <w:contextualSpacing/>
        <w:jc w:val="center"/>
        <w:rPr>
          <w:rFonts w:ascii="Arial" w:hAnsi="Arial" w:cs="Arial"/>
          <w:bCs/>
          <w:color w:val="C9211E"/>
          <w:sz w:val="30"/>
          <w:szCs w:val="30"/>
          <w:lang w:val="ru-RU" w:eastAsia="ru-RU"/>
        </w:rPr>
      </w:pPr>
      <w:r>
        <w:rPr>
          <w:rFonts w:cs="Arial" w:ascii="Arial" w:hAnsi="Arial"/>
          <w:bCs/>
          <w:color w:val="C9211E"/>
          <w:sz w:val="30"/>
          <w:szCs w:val="30"/>
          <w:lang w:val="ru-RU" w:eastAsia="ru-RU"/>
        </w:rPr>
      </w:r>
    </w:p>
    <w:p>
      <w:pPr>
        <w:pStyle w:val="Normal"/>
        <w:widowControl w:val="false"/>
        <w:numPr>
          <w:ilvl w:val="0"/>
          <w:numId w:val="0"/>
        </w:numPr>
        <w:spacing w:before="0" w:after="0"/>
        <w:ind w:left="0" w:right="0" w:hanging="0"/>
        <w:contextualSpacing/>
        <w:jc w:val="center"/>
        <w:rPr>
          <w:rFonts w:ascii="Arial" w:hAnsi="Arial" w:cs="Arial"/>
          <w:bCs/>
          <w:color w:val="C9211E"/>
          <w:sz w:val="30"/>
          <w:szCs w:val="30"/>
          <w:lang w:val="en-US" w:eastAsia="ru-RU"/>
        </w:rPr>
      </w:pPr>
      <w:r>
        <w:rPr>
          <w:rFonts w:cs="Arial" w:ascii="Arial" w:hAnsi="Arial"/>
          <w:bCs/>
          <w:color w:val="C9211E"/>
          <w:sz w:val="30"/>
          <w:szCs w:val="30"/>
          <w:lang w:val="en-US" w:eastAsia="ru-RU"/>
        </w:rPr>
      </w:r>
    </w:p>
    <w:p>
      <w:pPr>
        <w:pStyle w:val="Normal"/>
        <w:widowControl w:val="false"/>
        <w:numPr>
          <w:ilvl w:val="0"/>
          <w:numId w:val="0"/>
        </w:numPr>
        <w:spacing w:before="0" w:after="0"/>
        <w:ind w:left="0" w:right="0" w:hanging="0"/>
        <w:contextualSpacing/>
        <w:jc w:val="center"/>
        <w:rPr>
          <w:rFonts w:ascii="Arial" w:hAnsi="Arial" w:cs="Arial"/>
          <w:bCs/>
          <w:color w:val="C9211E"/>
          <w:sz w:val="30"/>
          <w:szCs w:val="30"/>
          <w:lang w:val="en-US" w:eastAsia="ru-RU"/>
        </w:rPr>
      </w:pPr>
      <w:r>
        <w:rPr>
          <w:rFonts w:cs="Arial" w:ascii="Arial" w:hAnsi="Arial"/>
          <w:bCs/>
          <w:color w:val="C9211E"/>
          <w:sz w:val="30"/>
          <w:szCs w:val="30"/>
          <w:lang w:val="en-US" w:eastAsia="ru-RU"/>
        </w:rPr>
      </w:r>
    </w:p>
    <w:p>
      <w:pPr>
        <w:pStyle w:val="Normal"/>
        <w:widowControl w:val="false"/>
        <w:numPr>
          <w:ilvl w:val="0"/>
          <w:numId w:val="0"/>
        </w:numPr>
        <w:ind w:left="0" w:right="0" w:hanging="0"/>
        <w:jc w:val="center"/>
        <w:rPr>
          <w:rFonts w:ascii="Arial" w:hAnsi="Arial" w:cs="Arial"/>
          <w:b/>
          <w:b/>
          <w:bCs/>
          <w:color w:val="C9211E"/>
          <w:sz w:val="10"/>
          <w:szCs w:val="10"/>
          <w:lang w:val="en-US" w:eastAsia="ru-RU"/>
        </w:rPr>
      </w:pPr>
      <w:r>
        <w:rPr>
          <w:rFonts w:cs="Arial" w:ascii="Arial" w:hAnsi="Arial"/>
          <w:b/>
          <w:bCs/>
          <w:color w:val="C9211E"/>
          <w:sz w:val="10"/>
          <w:szCs w:val="10"/>
          <w:lang w:val="en-US" w:eastAsia="ru-RU"/>
        </w:rPr>
      </w:r>
    </w:p>
    <w:tbl>
      <w:tblPr>
        <w:tblW w:w="9853" w:type="dxa"/>
        <w:jc w:val="left"/>
        <w:tblInd w:w="0" w:type="dxa"/>
        <w:tblBorders/>
        <w:tblCellMar>
          <w:top w:w="0" w:type="dxa"/>
          <w:left w:w="108" w:type="dxa"/>
          <w:bottom w:w="0" w:type="dxa"/>
          <w:right w:w="108" w:type="dxa"/>
        </w:tblCellMar>
      </w:tblPr>
      <w:tblGrid>
        <w:gridCol w:w="9853"/>
      </w:tblGrid>
      <w:tr>
        <w:trPr/>
        <w:tc>
          <w:tcPr>
            <w:tcW w:w="9853" w:type="dxa"/>
            <w:tcBorders/>
            <w:shd w:fill="auto" w:val="clear"/>
          </w:tcPr>
          <w:p>
            <w:pPr>
              <w:pStyle w:val="Normal"/>
              <w:widowControl w:val="false"/>
              <w:numPr>
                <w:ilvl w:val="0"/>
                <w:numId w:val="0"/>
              </w:numPr>
              <w:ind w:left="0" w:right="0" w:hanging="0"/>
              <w:jc w:val="center"/>
              <w:rPr>
                <w:rFonts w:ascii="Arial" w:hAnsi="Arial" w:cs="Arial"/>
                <w:bCs/>
                <w:color w:val="000000"/>
                <w:sz w:val="18"/>
                <w:szCs w:val="18"/>
              </w:rPr>
            </w:pPr>
            <w:r>
              <w:rPr>
                <w:rFonts w:cs="Arial" w:ascii="Arial" w:hAnsi="Arial"/>
                <w:bCs/>
                <w:color w:val="000000"/>
                <w:sz w:val="18"/>
                <w:szCs w:val="18"/>
              </w:rPr>
              <w:t>Акционерное общество «Дальневосточная распределительная сетевая компания»</w:t>
            </w:r>
          </w:p>
          <w:p>
            <w:pPr>
              <w:pStyle w:val="Normal"/>
              <w:widowControl w:val="false"/>
              <w:numPr>
                <w:ilvl w:val="0"/>
                <w:numId w:val="0"/>
              </w:numPr>
              <w:ind w:left="0" w:right="0" w:hanging="0"/>
              <w:jc w:val="center"/>
              <w:rPr>
                <w:rFonts w:ascii="Arial" w:hAnsi="Arial" w:cs="Arial"/>
                <w:bCs/>
                <w:color w:val="000000"/>
                <w:sz w:val="6"/>
                <w:szCs w:val="6"/>
              </w:rPr>
            </w:pPr>
            <w:r>
              <w:rPr>
                <w:rFonts w:cs="Arial" w:ascii="Arial" w:hAnsi="Arial"/>
                <w:bCs/>
                <w:color w:val="000000"/>
                <w:sz w:val="6"/>
                <w:szCs w:val="6"/>
              </w:rPr>
            </w:r>
          </w:p>
          <w:p>
            <w:pPr>
              <w:pStyle w:val="Normal"/>
              <w:widowControl w:val="false"/>
              <w:jc w:val="center"/>
              <w:rPr>
                <w:rFonts w:ascii="Arial" w:hAnsi="Arial" w:cs="Arial"/>
                <w:b/>
                <w:b/>
                <w:bCs/>
                <w:color w:val="000000"/>
                <w:sz w:val="18"/>
                <w:szCs w:val="18"/>
              </w:rPr>
            </w:pPr>
            <w:r>
              <w:rPr>
                <w:rFonts w:cs="Arial" w:ascii="Arial" w:hAnsi="Arial"/>
                <w:b/>
                <w:bCs/>
                <w:color w:val="000000"/>
                <w:sz w:val="18"/>
                <w:szCs w:val="18"/>
              </w:rPr>
              <w:t>ФИЛИАЛ «ПРИМОРСКИЕ ЭЛЕКТРИЧЕСКИЕ СЕТИ»</w:t>
            </w:r>
          </w:p>
        </w:tc>
      </w:tr>
      <w:tr>
        <w:trPr>
          <w:trHeight w:val="227" w:hRule="atLeast"/>
        </w:trPr>
        <w:tc>
          <w:tcPr>
            <w:tcW w:w="9853" w:type="dxa"/>
            <w:tcBorders/>
            <w:shd w:fill="auto" w:val="clear"/>
            <w:vAlign w:val="center"/>
          </w:tcPr>
          <w:p>
            <w:pPr>
              <w:pStyle w:val="Normal"/>
              <w:widowControl w:val="false"/>
              <w:spacing w:before="120" w:after="0"/>
              <w:jc w:val="center"/>
              <w:rPr>
                <w:rFonts w:ascii="Arial" w:hAnsi="Arial" w:cs="Arial"/>
                <w:color w:val="000000"/>
                <w:sz w:val="18"/>
                <w:szCs w:val="18"/>
              </w:rPr>
            </w:pPr>
            <w:r>
              <w:rPr>
                <w:rFonts w:cs="Arial" w:ascii="Arial" w:hAnsi="Arial"/>
                <w:color w:val="000000"/>
                <w:sz w:val="18"/>
                <w:szCs w:val="18"/>
              </w:rPr>
              <w:t>ул. Командорская, 13 А, г. Владивосток, Приморский край, Российская Федерация, 690080</w:t>
            </w:r>
          </w:p>
        </w:tc>
      </w:tr>
    </w:tbl>
    <w:p>
      <w:pPr>
        <w:pStyle w:val="Normal"/>
        <w:tabs>
          <w:tab w:val="left" w:pos="6060" w:leader="none"/>
        </w:tabs>
        <w:jc w:val="center"/>
        <w:rPr>
          <w:color w:val="C9211E"/>
        </w:rPr>
      </w:pPr>
      <w:r>
        <w:rPr>
          <w:color w:val="C9211E"/>
        </w:rPr>
      </w:r>
    </w:p>
    <w:p>
      <w:pPr>
        <w:pStyle w:val="Normal"/>
        <w:spacing w:before="120" w:after="240"/>
        <w:jc w:val="center"/>
        <w:rPr/>
      </w:pPr>
      <w:r>
        <w:rPr>
          <w:b/>
          <w:bCs/>
          <w:color w:val="000000"/>
        </w:rPr>
        <w:t>Уважаемые господа!</w:t>
      </w:r>
    </w:p>
    <w:p>
      <w:pPr>
        <w:pStyle w:val="Normal"/>
        <w:ind w:left="0" w:right="0" w:firstLine="709"/>
        <w:jc w:val="both"/>
        <w:rPr/>
      </w:pPr>
      <w:r>
        <w:rPr>
          <w:b/>
          <w:bCs/>
          <w:color w:val="000000"/>
        </w:rPr>
        <w:t>1</w:t>
      </w:r>
      <w:r>
        <w:rPr>
          <w:color w:val="000000"/>
        </w:rPr>
        <w:t xml:space="preserve">. Заказчик Филиал АО «ДРСК» «Приморские электрические сети» Почтовый адрес: 690080, г. Владивосток ул. Командорская 13 «А» проводит нерегламентированную закупочную процедуру, и в этой связи, приглашает юридических лиц и индивидуальных предпринимателей (далее — Подрядчик) подавать свои предложения: </w:t>
      </w:r>
      <w:r>
        <w:rPr>
          <w:b/>
          <w:i/>
          <w:color w:val="000000"/>
        </w:rPr>
        <w:t>на выполнение работ (оказание услуг</w:t>
      </w:r>
      <w:r>
        <w:rPr>
          <w:b/>
          <w:color w:val="000000"/>
        </w:rPr>
        <w:t xml:space="preserve">): </w:t>
      </w:r>
      <w:r>
        <w:rPr>
          <w:rFonts w:eastAsia="Calibri"/>
          <w:b/>
          <w:i/>
          <w:color w:val="000000"/>
        </w:rPr>
        <w:t>«</w:t>
      </w:r>
      <w:r>
        <w:rPr>
          <w:rFonts w:eastAsia="Microsoft YaHei"/>
          <w:b/>
          <w:color w:val="000000"/>
        </w:rPr>
        <w:t>ОКПД2 43.21.10.140 «</w:t>
      </w:r>
      <w:r>
        <w:rPr>
          <w:rStyle w:val="Style26"/>
          <w:rFonts w:eastAsia="Microsoft YaHei" w:cs="YS Text;apple-system" w:ascii="YS Text;apple-system" w:hAnsi="YS Text;apple-system"/>
          <w:b w:val="false"/>
          <w:i w:val="false"/>
          <w:caps w:val="false"/>
          <w:smallCaps w:val="false"/>
          <w:strike w:val="false"/>
          <w:dstrike w:val="false"/>
          <w:outline w:val="false"/>
          <w:shadow w:val="false"/>
          <w:color w:val="000000"/>
          <w:spacing w:val="0"/>
          <w:sz w:val="24"/>
          <w:szCs w:val="24"/>
          <w:u w:val="none"/>
          <w:em w:val="none"/>
        </w:rPr>
        <w:t xml:space="preserve">Работы по монтажу систем охранной сигнализации и видеонаблюдения» на объекте </w:t>
      </w:r>
      <w:r>
        <w:rPr>
          <w:b/>
          <w:bCs/>
          <w:i w:val="false"/>
          <w:strike w:val="false"/>
          <w:dstrike w:val="false"/>
          <w:outline w:val="false"/>
          <w:shadow w:val="false"/>
          <w:color w:val="000000"/>
          <w:sz w:val="24"/>
          <w:szCs w:val="24"/>
          <w:u w:val="none"/>
          <w:em w:val="none"/>
        </w:rPr>
        <w:t>филиала АО «ДРСК» «Приморские электрические сети» расположенного на территории Артемовского городского округа»</w:t>
      </w:r>
      <w:r>
        <w:rPr>
          <w:b/>
          <w:bCs/>
          <w:i/>
          <w:color w:val="000000"/>
          <w:sz w:val="24"/>
          <w:szCs w:val="24"/>
        </w:rPr>
        <w:t xml:space="preserve"> </w:t>
      </w:r>
      <w:r>
        <w:rPr>
          <w:color w:val="000000"/>
        </w:rPr>
        <w:t>в объеме, указанном в техническом задании</w:t>
      </w:r>
      <w:r>
        <w:rPr>
          <w:color w:val="000000"/>
          <w:sz w:val="18"/>
          <w:szCs w:val="18"/>
        </w:rPr>
        <w:t>.</w:t>
      </w:r>
    </w:p>
    <w:p>
      <w:pPr>
        <w:pStyle w:val="Normal"/>
        <w:tabs>
          <w:tab w:val="left" w:pos="9720" w:leader="none"/>
        </w:tabs>
        <w:ind w:left="0" w:right="360" w:firstLine="709"/>
        <w:jc w:val="both"/>
        <w:rPr/>
      </w:pPr>
      <w:r>
        <w:rPr>
          <w:b/>
          <w:bCs/>
          <w:color w:val="000000"/>
        </w:rPr>
        <w:t>2</w:t>
      </w:r>
      <w:r>
        <w:rPr>
          <w:color w:val="000000"/>
        </w:rPr>
        <w:t>. Требования по выполнению работ (оказание услуг) изложены в техническом задании:</w:t>
      </w:r>
    </w:p>
    <w:p>
      <w:pPr>
        <w:pStyle w:val="Normal"/>
        <w:ind w:left="-284" w:right="0" w:firstLine="426"/>
        <w:jc w:val="center"/>
        <w:rPr>
          <w:b/>
          <w:b/>
          <w:i/>
          <w:i/>
          <w:color w:val="C9211E"/>
          <w:sz w:val="22"/>
          <w:szCs w:val="22"/>
        </w:rPr>
      </w:pPr>
      <w:r>
        <w:rPr>
          <w:b/>
          <w:i/>
          <w:color w:val="C9211E"/>
          <w:sz w:val="22"/>
          <w:szCs w:val="22"/>
        </w:rPr>
      </w:r>
    </w:p>
    <w:p>
      <w:pPr>
        <w:pStyle w:val="Normal"/>
        <w:ind w:left="0" w:right="0" w:firstLine="709"/>
        <w:jc w:val="center"/>
        <w:rPr>
          <w:b/>
          <w:b/>
          <w:bCs/>
          <w:color w:val="000000"/>
          <w:sz w:val="22"/>
          <w:szCs w:val="22"/>
          <w:u w:val="single"/>
        </w:rPr>
      </w:pPr>
      <w:r>
        <w:rPr>
          <w:b/>
          <w:bCs/>
          <w:color w:val="000000"/>
          <w:sz w:val="22"/>
          <w:szCs w:val="22"/>
          <w:u w:val="single"/>
        </w:rPr>
        <w:t>ТЕХНИЧЕСКОЕ ЗАДАНИЕ</w:t>
      </w:r>
    </w:p>
    <w:p>
      <w:pPr>
        <w:pStyle w:val="Normal"/>
        <w:ind w:left="0" w:right="0" w:firstLine="709"/>
        <w:jc w:val="center"/>
        <w:rPr>
          <w:b/>
          <w:b/>
          <w:bCs/>
          <w:color w:val="C9211E"/>
          <w:sz w:val="22"/>
          <w:szCs w:val="22"/>
          <w:u w:val="single"/>
        </w:rPr>
      </w:pPr>
      <w:r>
        <w:rPr>
          <w:b/>
          <w:bCs/>
          <w:color w:val="C9211E"/>
          <w:sz w:val="22"/>
          <w:szCs w:val="22"/>
          <w:u w:val="single"/>
        </w:rPr>
      </w:r>
    </w:p>
    <w:p>
      <w:pPr>
        <w:pStyle w:val="ConsNormal"/>
        <w:bidi w:val="0"/>
        <w:spacing w:lineRule="auto" w:line="240" w:before="57" w:after="113"/>
        <w:ind w:left="0" w:right="0" w:hanging="0"/>
        <w:contextualSpacing/>
        <w:jc w:val="both"/>
        <w:rPr>
          <w:rFonts w:ascii="Times New Roman" w:hAnsi="Times New Roman" w:cs="Times New Roman"/>
          <w:b/>
          <w:b/>
          <w:bCs/>
          <w:sz w:val="24"/>
          <w:szCs w:val="24"/>
        </w:rPr>
      </w:pPr>
      <w:r>
        <w:rPr>
          <w:rFonts w:cs="Times New Roman" w:ascii="Times New Roman" w:hAnsi="Times New Roman"/>
          <w:b/>
          <w:bCs/>
          <w:sz w:val="24"/>
          <w:szCs w:val="24"/>
        </w:rPr>
        <w:t>1. Общие положения</w:t>
      </w:r>
    </w:p>
    <w:p>
      <w:pPr>
        <w:pStyle w:val="NormalWeb"/>
        <w:bidi w:val="0"/>
        <w:spacing w:lineRule="auto" w:line="240" w:before="57" w:after="113"/>
        <w:ind w:left="0" w:right="0" w:hanging="0"/>
        <w:contextualSpacing/>
        <w:jc w:val="both"/>
        <w:rPr/>
      </w:pPr>
      <w:r>
        <w:rPr/>
        <w:t>1.1. Наименование заказчика: филиал АО «Дальневосточная распределительная сетевая компания» «Приморские электрические сети» (филиал АО «ДРСК» «ПЭС»)</w:t>
      </w:r>
    </w:p>
    <w:p>
      <w:pPr>
        <w:pStyle w:val="NormalWeb"/>
        <w:bidi w:val="0"/>
        <w:spacing w:lineRule="auto" w:line="240" w:before="57" w:after="113"/>
        <w:ind w:left="0" w:right="0" w:hanging="0"/>
        <w:contextualSpacing/>
        <w:jc w:val="both"/>
        <w:rPr/>
      </w:pPr>
      <w:r>
        <w:rPr/>
        <w:t>1.2. Место нахождения заказчика: 690080, г. Владивосток, ул. Командорская, д.13а</w:t>
      </w:r>
    </w:p>
    <w:p>
      <w:pPr>
        <w:pStyle w:val="ConsNormal"/>
        <w:bidi w:val="0"/>
        <w:spacing w:lineRule="auto" w:line="240" w:before="57" w:after="113"/>
        <w:ind w:left="0" w:right="0" w:hanging="0"/>
        <w:contextualSpacing/>
        <w:jc w:val="both"/>
        <w:rPr>
          <w:rFonts w:ascii="Times New Roman" w:hAnsi="Times New Roman" w:cs="Times New Roman"/>
          <w:sz w:val="24"/>
          <w:szCs w:val="24"/>
        </w:rPr>
      </w:pPr>
      <w:r>
        <w:rPr>
          <w:rFonts w:cs="Times New Roman" w:ascii="Times New Roman" w:hAnsi="Times New Roman"/>
          <w:sz w:val="24"/>
          <w:szCs w:val="24"/>
        </w:rPr>
        <w:t>1.3. Режим рабочего времени заказчика: пятидневная рабочая неделя с двумя выходными днями (суббота и воскресенье), рабочее время установлено с понедельника по пятницу с 8 до 17 часов, за исключением нерабочих, праздничных дней. Обеденный перерыв в рабочие дни предусмотрен с 12.00 до 13.00 час. Поставщик должен учитывать этот график при исполнении условий договора.</w:t>
      </w:r>
    </w:p>
    <w:p>
      <w:pPr>
        <w:pStyle w:val="ConsNormal"/>
        <w:bidi w:val="0"/>
        <w:spacing w:lineRule="auto" w:line="240" w:before="57" w:after="113"/>
        <w:ind w:left="0" w:right="0" w:hanging="0"/>
        <w:contextualSpacing/>
        <w:jc w:val="both"/>
        <w:rPr>
          <w:rFonts w:ascii="Times New Roman" w:hAnsi="Times New Roman" w:cs="Times New Roman"/>
          <w:sz w:val="24"/>
          <w:szCs w:val="24"/>
        </w:rPr>
      </w:pPr>
      <w:r>
        <w:rPr>
          <w:rFonts w:cs="Times New Roman" w:ascii="Times New Roman" w:hAnsi="Times New Roman"/>
          <w:sz w:val="24"/>
          <w:szCs w:val="24"/>
        </w:rPr>
        <w:t>1.4. Ответственное должностное лицо заказчика: Яцуценко Дмитрий Алексеевич.</w:t>
      </w:r>
    </w:p>
    <w:p>
      <w:pPr>
        <w:pStyle w:val="ConsNormal"/>
        <w:bidi w:val="0"/>
        <w:spacing w:lineRule="auto" w:line="240" w:before="57" w:after="113"/>
        <w:ind w:left="0" w:right="0" w:hanging="0"/>
        <w:contextualSpacing/>
        <w:jc w:val="both"/>
        <w:rPr/>
      </w:pPr>
      <w:r>
        <w:rPr>
          <w:rFonts w:cs="Times New Roman" w:ascii="Times New Roman" w:hAnsi="Times New Roman"/>
          <w:sz w:val="24"/>
          <w:szCs w:val="24"/>
        </w:rPr>
        <w:t xml:space="preserve">Адрес электронной почты: </w:t>
      </w:r>
      <w:r>
        <w:rPr>
          <w:rStyle w:val="Style6"/>
          <w:rFonts w:cs="Times New Roman" w:ascii="Times New Roman" w:hAnsi="Times New Roman"/>
          <w:sz w:val="24"/>
          <w:szCs w:val="24"/>
          <w:lang w:val="en-US"/>
        </w:rPr>
        <w:t>yatsutsenko-da@prim.drsk.ru</w:t>
      </w:r>
      <w:r>
        <w:rPr>
          <w:rFonts w:cs="Times New Roman" w:ascii="Times New Roman" w:hAnsi="Times New Roman"/>
          <w:sz w:val="24"/>
          <w:szCs w:val="24"/>
          <w:lang w:val="en-US"/>
        </w:rPr>
        <w:t xml:space="preserve">, </w:t>
      </w:r>
    </w:p>
    <w:p>
      <w:pPr>
        <w:pStyle w:val="NormalWeb"/>
        <w:bidi w:val="0"/>
        <w:spacing w:lineRule="auto" w:line="240" w:before="57" w:after="113"/>
        <w:ind w:left="0" w:right="0" w:hanging="0"/>
        <w:contextualSpacing/>
        <w:jc w:val="both"/>
        <w:rPr/>
      </w:pPr>
      <w:r>
        <w:rPr/>
        <w:t>Номер контактного телефона: 8 (423) 221-39-75</w:t>
      </w:r>
    </w:p>
    <w:p>
      <w:pPr>
        <w:pStyle w:val="NormalWeb"/>
        <w:bidi w:val="0"/>
        <w:spacing w:lineRule="auto" w:line="240" w:before="57" w:after="113"/>
        <w:ind w:left="0" w:right="0" w:hanging="0"/>
        <w:contextualSpacing/>
        <w:jc w:val="both"/>
        <w:rPr>
          <w:rFonts w:cs="Times New Roman"/>
          <w:b/>
          <w:b/>
          <w:bCs/>
          <w:sz w:val="24"/>
          <w:szCs w:val="24"/>
        </w:rPr>
      </w:pPr>
      <w:r>
        <w:rPr>
          <w:rFonts w:cs="Times New Roman"/>
          <w:b/>
          <w:bCs/>
          <w:sz w:val="24"/>
          <w:szCs w:val="24"/>
        </w:rPr>
        <w:t>2. Наименование объекта закупки:</w:t>
      </w:r>
    </w:p>
    <w:p>
      <w:pPr>
        <w:pStyle w:val="NormalWeb"/>
        <w:bidi w:val="0"/>
        <w:spacing w:lineRule="auto" w:line="240" w:before="57" w:after="113"/>
        <w:ind w:left="0" w:right="0" w:hanging="0"/>
        <w:contextualSpacing/>
        <w:jc w:val="both"/>
        <w:rPr>
          <w:rFonts w:cs="Times New Roman"/>
          <w:b w:val="false"/>
          <w:b w:val="false"/>
          <w:bCs/>
          <w:i w:val="false"/>
          <w:i w:val="false"/>
          <w:strike w:val="false"/>
          <w:dstrike w:val="false"/>
          <w:outline w:val="false"/>
          <w:shadow w:val="false"/>
          <w:sz w:val="24"/>
          <w:szCs w:val="24"/>
          <w:u w:val="none"/>
          <w:em w:val="none"/>
        </w:rPr>
      </w:pPr>
      <w:r>
        <w:rPr>
          <w:rFonts w:cs="Times New Roman"/>
          <w:b w:val="false"/>
          <w:bCs/>
          <w:i w:val="false"/>
          <w:strike w:val="false"/>
          <w:dstrike w:val="false"/>
          <w:outline w:val="false"/>
          <w:shadow w:val="false"/>
          <w:sz w:val="24"/>
          <w:szCs w:val="24"/>
          <w:u w:val="none"/>
          <w:em w:val="none"/>
        </w:rPr>
        <w:t xml:space="preserve">2.1. Услуги по оборудованию объекта энергетики филиала АО «ДРСК» «ПЭС» техническими средствами охраны. </w:t>
      </w:r>
    </w:p>
    <w:p>
      <w:pPr>
        <w:pStyle w:val="ConsNormal"/>
        <w:bidi w:val="0"/>
        <w:spacing w:lineRule="auto" w:line="240" w:before="57" w:after="113"/>
        <w:ind w:left="0" w:right="0" w:hanging="0"/>
        <w:contextualSpacing/>
        <w:jc w:val="both"/>
        <w:rPr>
          <w:rFonts w:ascii="Times New Roman" w:hAnsi="Times New Roman" w:cs="Times New Roman"/>
          <w:b/>
          <w:b/>
          <w:bCs/>
          <w:sz w:val="24"/>
          <w:szCs w:val="24"/>
        </w:rPr>
      </w:pPr>
      <w:r>
        <w:rPr>
          <w:rFonts w:cs="Times New Roman" w:ascii="Times New Roman" w:hAnsi="Times New Roman"/>
          <w:b/>
          <w:bCs/>
          <w:sz w:val="24"/>
          <w:szCs w:val="24"/>
        </w:rPr>
        <w:t>3. Справочная информация</w:t>
      </w:r>
    </w:p>
    <w:p>
      <w:pPr>
        <w:pStyle w:val="ConsNormal"/>
        <w:bidi w:val="0"/>
        <w:spacing w:lineRule="auto" w:line="240" w:before="57" w:after="113"/>
        <w:ind w:left="0" w:right="0" w:hanging="0"/>
        <w:contextualSpacing/>
        <w:jc w:val="both"/>
        <w:rPr>
          <w:rFonts w:ascii="Times New Roman" w:hAnsi="Times New Roman" w:cs="Times New Roman"/>
          <w:sz w:val="24"/>
          <w:szCs w:val="24"/>
        </w:rPr>
      </w:pPr>
      <w:r>
        <w:rPr>
          <w:rFonts w:cs="Times New Roman" w:ascii="Times New Roman" w:hAnsi="Times New Roman"/>
          <w:sz w:val="24"/>
          <w:szCs w:val="24"/>
        </w:rPr>
        <w:t>3.1. Термины, определения: все термины, определения, сокращения, используемые в настоящем техническом задании, применяются в соответствии с техническими регламентами и иными документами национальной системы стандартизации.</w:t>
      </w:r>
    </w:p>
    <w:p>
      <w:pPr>
        <w:pStyle w:val="ConsNormal"/>
        <w:bidi w:val="0"/>
        <w:spacing w:lineRule="auto" w:line="240" w:before="57" w:after="113"/>
        <w:ind w:left="0" w:right="0" w:hanging="0"/>
        <w:contextualSpacing/>
        <w:jc w:val="both"/>
        <w:rPr>
          <w:rFonts w:ascii="Times New Roman" w:hAnsi="Times New Roman" w:cs="Times New Roman"/>
          <w:sz w:val="24"/>
          <w:szCs w:val="24"/>
        </w:rPr>
      </w:pPr>
      <w:r>
        <w:rPr>
          <w:rFonts w:cs="Times New Roman" w:ascii="Times New Roman" w:hAnsi="Times New Roman"/>
          <w:sz w:val="24"/>
          <w:szCs w:val="24"/>
        </w:rPr>
        <w:t>3.2. Закупка осуществляется в рамках инвестиционной программы филиала АО «ДРСК» «ПЭС» на 2026 год.</w:t>
      </w:r>
    </w:p>
    <w:p>
      <w:pPr>
        <w:pStyle w:val="ConsNormal"/>
        <w:bidi w:val="0"/>
        <w:spacing w:lineRule="auto" w:line="240" w:before="57" w:after="113"/>
        <w:ind w:left="0" w:right="0" w:hanging="0"/>
        <w:contextualSpacing/>
        <w:jc w:val="both"/>
        <w:rPr/>
      </w:pPr>
      <w:r>
        <w:rPr>
          <w:rFonts w:cs="Times New Roman" w:ascii="Times New Roman" w:hAnsi="Times New Roman"/>
          <w:sz w:val="24"/>
          <w:szCs w:val="24"/>
        </w:rPr>
        <w:t xml:space="preserve">3.3. </w:t>
      </w:r>
      <w:r>
        <w:rPr>
          <w:rFonts w:cs="Times New Roman" w:ascii="Times New Roman" w:hAnsi="Times New Roman"/>
          <w:b w:val="false"/>
          <w:bCs w:val="false"/>
          <w:sz w:val="24"/>
          <w:szCs w:val="24"/>
        </w:rPr>
        <w:t xml:space="preserve">Объект представляет собой одну огороженную территорию, имеющие приблизительные размеры: площадь 22 550 м2, длина периметра 650 м, имеются трое распашных ворот шириной по 5 метров и одну калитку шириной 1,5 м. </w:t>
      </w:r>
      <w:r>
        <w:rPr>
          <w:rFonts w:cs="Times New Roman" w:ascii="Times New Roman" w:hAnsi="Times New Roman"/>
          <w:sz w:val="24"/>
          <w:szCs w:val="24"/>
        </w:rPr>
        <w:t>Т</w:t>
      </w:r>
      <w:r>
        <w:rPr>
          <w:rFonts w:cs="Times New Roman" w:ascii="Times New Roman" w:hAnsi="Times New Roman"/>
          <w:b w:val="false"/>
          <w:bCs/>
          <w:i w:val="false"/>
          <w:strike w:val="false"/>
          <w:dstrike w:val="false"/>
          <w:outline w:val="false"/>
          <w:shadow w:val="false"/>
          <w:sz w:val="24"/>
          <w:szCs w:val="24"/>
          <w:u w:val="none"/>
          <w:em w:val="none"/>
        </w:rPr>
        <w:t>ехнические средства охраны (ТСО) включают в себя систему охранной сигнализации и видеонаблюдение. ТСО предназначена для обнаружения и извещения о несанкционированном проникновении (попытке проникновения) на охраняемый объект, обеспечивает визуальный контроль за обстановкой на периметре Объекта и прилегающей к нему территории, критических элементах объекта и отдельных участках его внутренней территории, а также передачу визуальной информации.</w:t>
      </w:r>
    </w:p>
    <w:p>
      <w:pPr>
        <w:pStyle w:val="ConsNormal"/>
        <w:bidi w:val="0"/>
        <w:spacing w:lineRule="auto" w:line="240" w:before="57" w:after="113"/>
        <w:ind w:left="0" w:right="0" w:hanging="0"/>
        <w:contextualSpacing/>
        <w:jc w:val="both"/>
        <w:rPr>
          <w:rFonts w:ascii="Times New Roman" w:hAnsi="Times New Roman" w:cs="Times New Roman"/>
          <w:b w:val="false"/>
          <w:b w:val="false"/>
          <w:bCs w:val="false"/>
          <w:sz w:val="24"/>
          <w:szCs w:val="24"/>
        </w:rPr>
      </w:pPr>
      <w:r>
        <w:rPr>
          <w:rFonts w:cs="Times New Roman" w:ascii="Times New Roman" w:hAnsi="Times New Roman"/>
          <w:b w:val="false"/>
          <w:bCs w:val="false"/>
          <w:sz w:val="24"/>
          <w:szCs w:val="24"/>
        </w:rPr>
        <w:t>3.4. Внутри охраняемой территории находится 1 здание и множество сооружений. В здании круглосуточно находится работник.</w:t>
      </w:r>
    </w:p>
    <w:p>
      <w:pPr>
        <w:pStyle w:val="ConsNormal"/>
        <w:bidi w:val="0"/>
        <w:spacing w:lineRule="auto" w:line="240" w:before="57" w:after="113"/>
        <w:ind w:left="0" w:right="0" w:hanging="0"/>
        <w:contextualSpacing/>
        <w:jc w:val="both"/>
        <w:rPr>
          <w:rFonts w:ascii="Times New Roman" w:hAnsi="Times New Roman" w:cs="Times New Roman"/>
          <w:b w:val="false"/>
          <w:b w:val="false"/>
          <w:bCs w:val="false"/>
          <w:sz w:val="24"/>
          <w:szCs w:val="24"/>
        </w:rPr>
      </w:pPr>
      <w:r>
        <w:rPr>
          <w:rFonts w:cs="Times New Roman" w:ascii="Times New Roman" w:hAnsi="Times New Roman"/>
          <w:b w:val="false"/>
          <w:bCs w:val="false"/>
          <w:sz w:val="24"/>
          <w:szCs w:val="24"/>
        </w:rPr>
        <w:t>3.5. Покрытие на объекте: асфальтированная дорожка вдоль фасада здания со стороны калитки, остальное грунтовое. К каждому сооружению на территории имеется подъезд для большегрузного транспорта. Грунт на объекте пучинистый.</w:t>
      </w:r>
    </w:p>
    <w:p>
      <w:pPr>
        <w:pStyle w:val="ConsNormal"/>
        <w:bidi w:val="0"/>
        <w:spacing w:lineRule="auto" w:line="240" w:before="57" w:after="113"/>
        <w:ind w:left="0" w:right="0" w:hanging="0"/>
        <w:contextualSpacing/>
        <w:jc w:val="both"/>
        <w:rPr>
          <w:rFonts w:ascii="Times New Roman" w:hAnsi="Times New Roman" w:cs="Times New Roman"/>
          <w:b/>
          <w:b/>
          <w:bCs/>
          <w:sz w:val="24"/>
          <w:szCs w:val="24"/>
        </w:rPr>
      </w:pPr>
      <w:r>
        <w:rPr>
          <w:rFonts w:cs="Times New Roman" w:ascii="Times New Roman" w:hAnsi="Times New Roman"/>
          <w:b/>
          <w:bCs/>
          <w:sz w:val="24"/>
          <w:szCs w:val="24"/>
        </w:rPr>
        <w:t>4. Требования к оборудованию и программному обеспечению.</w:t>
      </w:r>
    </w:p>
    <w:p>
      <w:pPr>
        <w:pStyle w:val="ConsNormal"/>
        <w:bidi w:val="0"/>
        <w:spacing w:lineRule="auto" w:line="240" w:before="57" w:after="113"/>
        <w:ind w:left="0" w:right="0" w:hanging="0"/>
        <w:contextualSpacing/>
        <w:jc w:val="both"/>
        <w:rPr>
          <w:rFonts w:ascii="Times New Roman" w:hAnsi="Times New Roman" w:cs="Times New Roman"/>
          <w:b w:val="false"/>
          <w:b w:val="false"/>
          <w:bCs w:val="false"/>
          <w:sz w:val="24"/>
          <w:szCs w:val="24"/>
        </w:rPr>
      </w:pPr>
      <w:r>
        <w:rPr>
          <w:rFonts w:cs="Times New Roman" w:ascii="Times New Roman" w:hAnsi="Times New Roman"/>
          <w:b w:val="false"/>
          <w:bCs w:val="false"/>
          <w:sz w:val="24"/>
          <w:szCs w:val="24"/>
        </w:rPr>
        <w:t>4.1. Все оборудование и программное обеспечение приобретается и устанавливается Исполнителем. Сервер-приложение ТСО должно быть выполнено отечественной операционной системе. АРМ с программно-аппаратным комплексом управления устанавливается в здании на территории охраняемого объекта.</w:t>
      </w:r>
    </w:p>
    <w:p>
      <w:pPr>
        <w:pStyle w:val="ConsNormal"/>
        <w:bidi w:val="0"/>
        <w:spacing w:lineRule="auto" w:line="240" w:before="57" w:after="113"/>
        <w:ind w:left="0" w:right="0" w:hanging="0"/>
        <w:contextualSpacing/>
        <w:jc w:val="both"/>
        <w:rPr>
          <w:rFonts w:ascii="Times New Roman" w:hAnsi="Times New Roman" w:cs="Times New Roman"/>
          <w:b w:val="false"/>
          <w:b w:val="false"/>
          <w:bCs w:val="false"/>
          <w:sz w:val="24"/>
          <w:szCs w:val="24"/>
        </w:rPr>
      </w:pPr>
      <w:r>
        <w:rPr>
          <w:rFonts w:cs="Times New Roman" w:ascii="Times New Roman" w:hAnsi="Times New Roman"/>
          <w:b w:val="false"/>
          <w:bCs w:val="false"/>
          <w:sz w:val="24"/>
          <w:szCs w:val="24"/>
        </w:rPr>
        <w:t>4.2. Оборудование и программное обеспечение должно соответствовать требованиям раздела 3 Технической политики РусГидро, а также Политики информационной безопасности АО «ДРСК».</w:t>
      </w:r>
    </w:p>
    <w:p>
      <w:pPr>
        <w:pStyle w:val="Normal"/>
        <w:bidi w:val="0"/>
        <w:spacing w:lineRule="auto" w:line="240" w:before="57" w:after="113"/>
        <w:ind w:left="0" w:right="0" w:hanging="0"/>
        <w:contextualSpacing/>
        <w:jc w:val="both"/>
        <w:rPr/>
      </w:pPr>
      <w:r>
        <w:rPr>
          <w:rFonts w:cs="Times New Roman"/>
          <w:b w:val="false"/>
          <w:bCs w:val="false"/>
          <w:sz w:val="24"/>
          <w:szCs w:val="24"/>
        </w:rPr>
        <w:t xml:space="preserve">4.3. </w:t>
      </w:r>
      <w:r>
        <w:rPr>
          <w:rFonts w:cs="Times New Roman"/>
          <w:b/>
          <w:bCs/>
          <w:sz w:val="24"/>
          <w:szCs w:val="24"/>
        </w:rPr>
        <w:t>Периметральная охрана</w:t>
      </w:r>
      <w:r>
        <w:rPr>
          <w:rFonts w:cs="Times New Roman"/>
          <w:b w:val="false"/>
          <w:bCs w:val="false"/>
          <w:sz w:val="24"/>
          <w:szCs w:val="24"/>
        </w:rPr>
        <w:t xml:space="preserve"> должна иметь высокую помехозащищенность и устойчивость к внешним факторам. Обработка сигнала должна исключить ложные срабатывания на ветер, дождь, снег, листву, мелких животных и птиц. Оборудование должно исключить обход зоны обнаружения. Применяемое оборудование должно </w:t>
      </w:r>
      <w:r>
        <w:rPr>
          <w:rFonts w:cs="verdana;geneva" w:ascii="verdana;geneva" w:hAnsi="verdana;geneva"/>
          <w:b w:val="false"/>
          <w:i w:val="false"/>
          <w:caps w:val="false"/>
          <w:smallCaps w:val="false"/>
          <w:color w:val="000000"/>
          <w:spacing w:val="0"/>
          <w:sz w:val="24"/>
        </w:rPr>
        <w:t>исключить получение разрешения ГКРЧ.</w:t>
      </w:r>
    </w:p>
    <w:p>
      <w:pPr>
        <w:pStyle w:val="Normal"/>
        <w:bidi w:val="0"/>
        <w:spacing w:lineRule="auto" w:line="240" w:before="57" w:after="113"/>
        <w:ind w:left="0" w:right="0" w:hanging="0"/>
        <w:contextualSpacing/>
        <w:jc w:val="both"/>
        <w:rPr/>
      </w:pPr>
      <w:r>
        <w:rPr>
          <w:rFonts w:cs="Times New Roman"/>
          <w:b w:val="false"/>
          <w:bCs w:val="false"/>
          <w:sz w:val="24"/>
          <w:szCs w:val="24"/>
        </w:rPr>
        <w:t xml:space="preserve">4.4. </w:t>
      </w:r>
      <w:r>
        <w:rPr>
          <w:rFonts w:cs="Times New Roman"/>
          <w:b/>
          <w:bCs/>
          <w:sz w:val="24"/>
          <w:szCs w:val="24"/>
        </w:rPr>
        <w:t>Видеонаблюдение</w:t>
      </w:r>
      <w:r>
        <w:rPr>
          <w:rFonts w:cs="Times New Roman"/>
          <w:b w:val="false"/>
          <w:bCs w:val="false"/>
          <w:sz w:val="24"/>
          <w:szCs w:val="24"/>
        </w:rPr>
        <w:t xml:space="preserve"> должно обеспечивать высокое разрешение не менее 4 Мп, широкий динамический диапазон (WDR) и высокую чувствительность (от 0.002 лк) для качественной съемки в условиях недостаточной освещенности.</w:t>
      </w:r>
    </w:p>
    <w:p>
      <w:pPr>
        <w:pStyle w:val="Normal"/>
        <w:bidi w:val="0"/>
        <w:spacing w:lineRule="auto" w:line="240" w:before="57" w:after="113"/>
        <w:ind w:left="0" w:right="0" w:hanging="0"/>
        <w:contextualSpacing/>
        <w:jc w:val="both"/>
        <w:rPr>
          <w:rFonts w:cs="Times New Roman"/>
          <w:b w:val="false"/>
          <w:b w:val="false"/>
          <w:bCs w:val="false"/>
          <w:sz w:val="24"/>
          <w:szCs w:val="24"/>
        </w:rPr>
      </w:pPr>
      <w:r>
        <w:rPr>
          <w:rFonts w:cs="Times New Roman"/>
          <w:b w:val="false"/>
          <w:bCs w:val="false"/>
          <w:sz w:val="24"/>
          <w:szCs w:val="24"/>
        </w:rPr>
        <w:tab/>
        <w:t>IP-камеры должны поддерживать стандартизированный протокол ONVIF, что гарантирует их совместимость с любым профильным ПО. Архив видеорегистратора должен обеспечить сохранность всей информации  не менее 30 суток. В ночное время оператор должен видеть детали (цвет одежды, номер и цвет автотранспорта).</w:t>
      </w:r>
    </w:p>
    <w:p>
      <w:pPr>
        <w:pStyle w:val="Normal"/>
        <w:bidi w:val="0"/>
        <w:spacing w:lineRule="auto" w:line="240" w:before="57" w:after="113"/>
        <w:ind w:left="0" w:right="0" w:hanging="0"/>
        <w:contextualSpacing/>
        <w:jc w:val="both"/>
        <w:rPr/>
      </w:pPr>
      <w:r>
        <w:rPr>
          <w:rFonts w:cs="Times New Roman"/>
          <w:b w:val="false"/>
          <w:bCs w:val="false"/>
          <w:sz w:val="24"/>
          <w:szCs w:val="24"/>
        </w:rPr>
        <w:t xml:space="preserve">4.5. </w:t>
      </w:r>
      <w:r>
        <w:rPr>
          <w:rFonts w:cs="Times New Roman"/>
          <w:b/>
          <w:bCs/>
          <w:sz w:val="24"/>
          <w:szCs w:val="24"/>
        </w:rPr>
        <w:t>Программно-аппаратный комплекс</w:t>
      </w:r>
      <w:r>
        <w:rPr>
          <w:rFonts w:cs="Times New Roman"/>
          <w:b w:val="false"/>
          <w:bCs w:val="false"/>
          <w:sz w:val="24"/>
          <w:szCs w:val="24"/>
        </w:rPr>
        <w:t xml:space="preserve"> должен обеспечивать:</w:t>
      </w:r>
    </w:p>
    <w:p>
      <w:pPr>
        <w:pStyle w:val="Normal"/>
        <w:bidi w:val="0"/>
        <w:spacing w:lineRule="auto" w:line="240" w:before="57" w:after="113"/>
        <w:ind w:left="0" w:right="0" w:hanging="0"/>
        <w:contextualSpacing/>
        <w:jc w:val="both"/>
        <w:rPr>
          <w:rFonts w:cs="Times New Roman"/>
          <w:sz w:val="24"/>
          <w:szCs w:val="24"/>
        </w:rPr>
      </w:pPr>
      <w:r>
        <w:rPr>
          <w:rFonts w:cs="Times New Roman"/>
          <w:sz w:val="24"/>
          <w:szCs w:val="24"/>
        </w:rPr>
        <w:t>- выполнение полного комплекса контроля, мониторинга и управления локально без выхода во внешнюю сеть;</w:t>
      </w:r>
    </w:p>
    <w:p>
      <w:pPr>
        <w:pStyle w:val="Normal"/>
        <w:bidi w:val="0"/>
        <w:spacing w:lineRule="auto" w:line="240" w:before="57" w:after="113"/>
        <w:ind w:left="0" w:right="0" w:hanging="0"/>
        <w:contextualSpacing/>
        <w:jc w:val="both"/>
        <w:rPr>
          <w:rFonts w:cs="Times New Roman"/>
          <w:sz w:val="24"/>
          <w:szCs w:val="24"/>
        </w:rPr>
      </w:pPr>
      <w:r>
        <w:rPr>
          <w:rFonts w:cs="Times New Roman"/>
          <w:sz w:val="24"/>
          <w:szCs w:val="24"/>
        </w:rPr>
        <w:t>- возможность подключения к сети для организации дистанционного управления и мониторинга;</w:t>
      </w:r>
    </w:p>
    <w:p>
      <w:pPr>
        <w:pStyle w:val="Normal"/>
        <w:bidi w:val="0"/>
        <w:spacing w:lineRule="auto" w:line="240" w:before="57" w:after="113"/>
        <w:ind w:left="0" w:right="0" w:hanging="0"/>
        <w:contextualSpacing/>
        <w:jc w:val="both"/>
        <w:rPr>
          <w:rFonts w:cs="Times New Roman"/>
          <w:sz w:val="24"/>
          <w:szCs w:val="24"/>
        </w:rPr>
      </w:pPr>
      <w:r>
        <w:rPr>
          <w:rFonts w:cs="Times New Roman"/>
          <w:sz w:val="24"/>
          <w:szCs w:val="24"/>
        </w:rPr>
        <w:t>- централизованное управление: Интеграция всех подсистем (охрана, видео) в единый интерфейс позволяет оператору управлять объектом с одного экрана.</w:t>
      </w:r>
    </w:p>
    <w:p>
      <w:pPr>
        <w:pStyle w:val="Normal"/>
        <w:bidi w:val="0"/>
        <w:spacing w:lineRule="auto" w:line="240" w:before="57" w:after="113"/>
        <w:ind w:left="0" w:right="0" w:hanging="0"/>
        <w:contextualSpacing/>
        <w:jc w:val="both"/>
        <w:rPr>
          <w:rFonts w:cs="Times New Roman"/>
          <w:sz w:val="24"/>
          <w:szCs w:val="24"/>
        </w:rPr>
      </w:pPr>
      <w:r>
        <w:rPr>
          <w:rFonts w:cs="Times New Roman"/>
          <w:sz w:val="24"/>
          <w:szCs w:val="24"/>
        </w:rPr>
        <w:t>- гибкую настройку АРМ: возможность создания индивидуальных автоматизированных рабочих мест для персонала с разным уровнем доступа (оператор, инженер, руководитель).</w:t>
      </w:r>
    </w:p>
    <w:p>
      <w:pPr>
        <w:pStyle w:val="Normal"/>
        <w:bidi w:val="0"/>
        <w:spacing w:lineRule="auto" w:line="240" w:before="57" w:after="113"/>
        <w:ind w:left="0" w:right="0" w:hanging="0"/>
        <w:contextualSpacing/>
        <w:jc w:val="both"/>
        <w:rPr>
          <w:rFonts w:cs="Times New Roman"/>
          <w:b w:val="false"/>
          <w:b w:val="false"/>
          <w:bCs w:val="false"/>
          <w:sz w:val="24"/>
          <w:szCs w:val="24"/>
        </w:rPr>
      </w:pPr>
      <w:r>
        <w:rPr>
          <w:rFonts w:cs="Times New Roman"/>
          <w:b w:val="false"/>
          <w:bCs w:val="false"/>
          <w:sz w:val="24"/>
          <w:szCs w:val="24"/>
        </w:rPr>
        <w:t>- визуализацию событий: автоматический вывод на видеокарту события с привязкой к тревоге позволяет персоналу мгновенно оценить обстановку, включение световой и звуковой тревоги у оператора;</w:t>
      </w:r>
    </w:p>
    <w:p>
      <w:pPr>
        <w:pStyle w:val="Normal"/>
        <w:bidi w:val="0"/>
        <w:spacing w:lineRule="auto" w:line="240" w:before="57" w:after="113"/>
        <w:ind w:left="0" w:right="0" w:hanging="0"/>
        <w:contextualSpacing/>
        <w:jc w:val="both"/>
        <w:rPr/>
      </w:pPr>
      <w:r>
        <w:rPr>
          <w:rFonts w:cs="Times New Roman"/>
          <w:b w:val="false"/>
          <w:bCs w:val="false"/>
          <w:sz w:val="24"/>
          <w:szCs w:val="24"/>
        </w:rPr>
        <w:t xml:space="preserve">-совместимость дистрибутива ПО с операционными системами </w:t>
      </w:r>
      <w:r>
        <w:rPr>
          <w:rFonts w:cs="Times New Roman"/>
          <w:b w:val="false"/>
          <w:bCs w:val="false"/>
          <w:sz w:val="24"/>
          <w:szCs w:val="24"/>
          <w:lang w:val="en-US"/>
        </w:rPr>
        <w:t>Astra Linux (версии не ниже 1.8) и AlterOS (версии не ниже 9.Х);</w:t>
      </w:r>
    </w:p>
    <w:p>
      <w:pPr>
        <w:pStyle w:val="Normal"/>
        <w:bidi w:val="0"/>
        <w:spacing w:lineRule="auto" w:line="240" w:before="57" w:after="113"/>
        <w:ind w:left="0" w:right="0" w:hanging="0"/>
        <w:contextualSpacing/>
        <w:jc w:val="both"/>
        <w:rPr/>
      </w:pPr>
      <w:r>
        <w:rPr>
          <w:rFonts w:cs="Times New Roman"/>
          <w:b w:val="false"/>
          <w:bCs w:val="false"/>
          <w:sz w:val="24"/>
          <w:szCs w:val="24"/>
        </w:rPr>
        <w:t xml:space="preserve">- </w:t>
      </w:r>
      <w:r>
        <w:rPr>
          <w:rFonts w:cs="Times New Roman"/>
          <w:sz w:val="24"/>
          <w:szCs w:val="24"/>
        </w:rPr>
        <w:t>возможность непрерывной работы с учетом проведения регламентного технического обслуживания;</w:t>
      </w:r>
    </w:p>
    <w:p>
      <w:pPr>
        <w:pStyle w:val="Normal"/>
        <w:bidi w:val="0"/>
        <w:spacing w:lineRule="auto" w:line="240" w:before="57" w:after="113"/>
        <w:ind w:left="0" w:right="0" w:hanging="0"/>
        <w:contextualSpacing/>
        <w:jc w:val="both"/>
        <w:rPr>
          <w:rFonts w:cs="Times New Roman"/>
          <w:sz w:val="24"/>
          <w:szCs w:val="24"/>
        </w:rPr>
      </w:pPr>
      <w:r>
        <w:rPr>
          <w:rFonts w:cs="Times New Roman"/>
          <w:sz w:val="24"/>
          <w:szCs w:val="24"/>
        </w:rPr>
        <w:t>- возможность дистанционного мониторинга событий и управления при подключении к сети интернет;</w:t>
      </w:r>
    </w:p>
    <w:p>
      <w:pPr>
        <w:pStyle w:val="Normal"/>
        <w:bidi w:val="0"/>
        <w:spacing w:lineRule="auto" w:line="240" w:before="57" w:after="113"/>
        <w:ind w:left="0" w:right="0" w:hanging="0"/>
        <w:contextualSpacing/>
        <w:jc w:val="both"/>
        <w:rPr>
          <w:rFonts w:cs="Times New Roman"/>
          <w:sz w:val="24"/>
          <w:szCs w:val="24"/>
        </w:rPr>
      </w:pPr>
      <w:r>
        <w:rPr>
          <w:rFonts w:cs="Times New Roman"/>
          <w:sz w:val="24"/>
          <w:szCs w:val="24"/>
        </w:rPr>
        <w:t>- автоматического и ручного резервного копирования данных системы;</w:t>
      </w:r>
    </w:p>
    <w:p>
      <w:pPr>
        <w:pStyle w:val="Normal"/>
        <w:bidi w:val="0"/>
        <w:spacing w:lineRule="auto" w:line="240" w:before="57" w:after="113"/>
        <w:ind w:left="0" w:right="0" w:hanging="0"/>
        <w:contextualSpacing/>
        <w:jc w:val="both"/>
        <w:rPr>
          <w:rFonts w:cs="Times New Roman"/>
          <w:sz w:val="24"/>
          <w:szCs w:val="24"/>
        </w:rPr>
      </w:pPr>
      <w:r>
        <w:rPr>
          <w:rFonts w:cs="Times New Roman"/>
          <w:sz w:val="24"/>
          <w:szCs w:val="24"/>
        </w:rPr>
        <w:t>- формирования настраиваемых отчетов событий;</w:t>
      </w:r>
    </w:p>
    <w:p>
      <w:pPr>
        <w:pStyle w:val="Normal"/>
        <w:bidi w:val="0"/>
        <w:spacing w:lineRule="auto" w:line="240" w:before="57" w:after="113"/>
        <w:ind w:left="0" w:right="0" w:hanging="0"/>
        <w:contextualSpacing/>
        <w:jc w:val="both"/>
        <w:rPr>
          <w:rFonts w:eastAsia="Times New Roman" w:cs="Times New Roman"/>
          <w:color w:val="000000"/>
          <w:sz w:val="24"/>
          <w:szCs w:val="24"/>
          <w:lang w:val="ru-RU" w:eastAsia="zh-CN" w:bidi="ar-SA"/>
        </w:rPr>
      </w:pPr>
      <w:r>
        <w:rPr>
          <w:rFonts w:eastAsia="Times New Roman" w:cs="Times New Roman"/>
          <w:color w:val="000000"/>
          <w:sz w:val="24"/>
          <w:szCs w:val="24"/>
          <w:lang w:val="ru-RU" w:eastAsia="zh-CN" w:bidi="ar-SA"/>
        </w:rPr>
      </w:r>
    </w:p>
    <w:p>
      <w:pPr>
        <w:pStyle w:val="Normal"/>
        <w:bidi w:val="0"/>
        <w:spacing w:lineRule="auto" w:line="240" w:before="57" w:after="113"/>
        <w:ind w:left="0" w:right="0" w:hanging="0"/>
        <w:contextualSpacing/>
        <w:jc w:val="both"/>
        <w:rPr>
          <w:b/>
          <w:b/>
          <w:sz w:val="24"/>
          <w:szCs w:val="24"/>
        </w:rPr>
      </w:pPr>
      <w:r>
        <w:rPr>
          <w:b/>
          <w:sz w:val="24"/>
          <w:szCs w:val="24"/>
        </w:rPr>
        <w:t>5. Требования к надежности</w:t>
      </w:r>
    </w:p>
    <w:p>
      <w:pPr>
        <w:pStyle w:val="Normal"/>
        <w:bidi w:val="0"/>
        <w:spacing w:lineRule="auto" w:line="240" w:before="57" w:after="113"/>
        <w:ind w:left="0" w:right="0" w:hanging="0"/>
        <w:contextualSpacing/>
        <w:jc w:val="both"/>
        <w:rPr>
          <w:sz w:val="24"/>
          <w:szCs w:val="24"/>
        </w:rPr>
      </w:pPr>
      <w:r>
        <w:rPr>
          <w:sz w:val="24"/>
          <w:szCs w:val="24"/>
        </w:rPr>
        <w:t>5.1. Система должна сохранять работоспособность и обеспечивать восстановление своих функций автоматически после удачного перезапуска ОС:</w:t>
      </w:r>
    </w:p>
    <w:p>
      <w:pPr>
        <w:pStyle w:val="Normal"/>
        <w:bidi w:val="0"/>
        <w:spacing w:lineRule="auto" w:line="240" w:before="57" w:after="113"/>
        <w:ind w:left="0" w:right="0" w:hanging="0"/>
        <w:contextualSpacing/>
        <w:jc w:val="both"/>
        <w:rPr>
          <w:sz w:val="24"/>
          <w:szCs w:val="24"/>
        </w:rPr>
      </w:pPr>
      <w:r>
        <w:rPr>
          <w:sz w:val="24"/>
          <w:szCs w:val="24"/>
        </w:rPr>
        <w:t>-  при сбоях в работе аппаратной части, приводящих к перезагрузке ОС;</w:t>
      </w:r>
    </w:p>
    <w:p>
      <w:pPr>
        <w:pStyle w:val="Normal"/>
        <w:bidi w:val="0"/>
        <w:spacing w:lineRule="auto" w:line="240" w:before="57" w:after="113"/>
        <w:ind w:left="0" w:right="0" w:hanging="0"/>
        <w:contextualSpacing/>
        <w:jc w:val="both"/>
        <w:rPr/>
      </w:pPr>
      <w:r>
        <w:rPr>
          <w:sz w:val="24"/>
          <w:szCs w:val="24"/>
        </w:rPr>
        <w:t>-  п</w:t>
      </w:r>
      <w:r>
        <w:rPr>
          <w:rFonts w:eastAsia="Times New Roman" w:cs="Times New Roman"/>
          <w:color w:val="000000"/>
          <w:sz w:val="24"/>
          <w:szCs w:val="24"/>
          <w:u w:val="none"/>
          <w:lang w:val="ru-RU" w:eastAsia="zh-CN" w:bidi="ar-SA"/>
        </w:rPr>
        <w:t>ри ошибках в работе ПО. При установлении факта некорректной работы отдельных модулей либо всего ПО в целом должна быть предусмотрена возможность автоматического перезапуска отдельных процессов, либо всего ПО в целом;</w:t>
      </w:r>
    </w:p>
    <w:p>
      <w:pPr>
        <w:pStyle w:val="Normal"/>
        <w:bidi w:val="0"/>
        <w:spacing w:lineRule="auto" w:line="240" w:before="57" w:after="113"/>
        <w:ind w:left="0" w:right="0" w:hanging="0"/>
        <w:contextualSpacing/>
        <w:jc w:val="both"/>
        <w:rPr>
          <w:rFonts w:eastAsia="Times New Roman" w:cs="Times New Roman"/>
          <w:color w:val="000000"/>
          <w:sz w:val="24"/>
          <w:szCs w:val="24"/>
          <w:u w:val="none"/>
          <w:lang w:val="ru-RU" w:eastAsia="zh-CN" w:bidi="ar-SA"/>
        </w:rPr>
      </w:pPr>
      <w:r>
        <w:rPr>
          <w:rFonts w:eastAsia="Times New Roman" w:cs="Times New Roman"/>
          <w:color w:val="000000"/>
          <w:sz w:val="24"/>
          <w:szCs w:val="24"/>
          <w:u w:val="none"/>
          <w:lang w:val="ru-RU" w:eastAsia="zh-CN" w:bidi="ar-SA"/>
        </w:rPr>
        <w:t>-  при ошибках, связанных с программным обеспечением сторонних производителей (ОС, драйверы устройств и др.), восстановление работоспособности возлагается на ОС.</w:t>
      </w:r>
    </w:p>
    <w:p>
      <w:pPr>
        <w:pStyle w:val="Normal"/>
        <w:bidi w:val="0"/>
        <w:spacing w:lineRule="auto" w:line="240" w:before="57" w:after="113"/>
        <w:ind w:left="0" w:right="0" w:hanging="0"/>
        <w:contextualSpacing/>
        <w:jc w:val="both"/>
        <w:rPr/>
      </w:pPr>
      <w:r>
        <w:rPr>
          <w:rFonts w:eastAsia="Times New Roman" w:cs="Times New Roman"/>
          <w:color w:val="000000"/>
          <w:sz w:val="24"/>
          <w:szCs w:val="24"/>
          <w:u w:val="none"/>
          <w:lang w:val="ru-RU" w:eastAsia="zh-CN" w:bidi="ar-SA"/>
        </w:rPr>
        <w:t>- датчики устанавливаются на бетонном ограждении внутри охраняемого (защищаемого) объ</w:t>
      </w:r>
      <w:r>
        <w:rPr>
          <w:rFonts w:eastAsia="Times New Roman" w:cs="Times New Roman"/>
          <w:b w:val="false"/>
          <w:bCs w:val="false"/>
          <w:color w:val="000000"/>
          <w:sz w:val="24"/>
          <w:szCs w:val="24"/>
          <w:u w:val="none"/>
          <w:lang w:val="ru-RU" w:eastAsia="zh-CN" w:bidi="ar-SA"/>
        </w:rPr>
        <w:t>екта и должны обеспечивать круглосуточный режим работы.</w:t>
      </w:r>
    </w:p>
    <w:p>
      <w:pPr>
        <w:pStyle w:val="ConsNormal"/>
        <w:bidi w:val="0"/>
        <w:spacing w:lineRule="auto" w:line="240" w:before="57" w:after="113"/>
        <w:ind w:left="0" w:right="0" w:hanging="0"/>
        <w:contextualSpacing/>
        <w:jc w:val="both"/>
        <w:rPr>
          <w:rFonts w:ascii="Times New Roman" w:hAnsi="Times New Roman" w:eastAsia="Times New Roman" w:cs="Times New Roman"/>
          <w:b w:val="false"/>
          <w:b w:val="false"/>
          <w:bCs w:val="false"/>
          <w:color w:val="000000"/>
          <w:sz w:val="24"/>
          <w:szCs w:val="24"/>
          <w:u w:val="none"/>
          <w:lang w:val="ru-RU" w:eastAsia="zh-CN" w:bidi="ar-SA"/>
        </w:rPr>
      </w:pPr>
      <w:r>
        <w:rPr>
          <w:rFonts w:eastAsia="Times New Roman" w:cs="Times New Roman" w:ascii="Times New Roman" w:hAnsi="Times New Roman"/>
          <w:b w:val="false"/>
          <w:bCs w:val="false"/>
          <w:color w:val="000000"/>
          <w:sz w:val="24"/>
          <w:szCs w:val="24"/>
          <w:u w:val="none"/>
          <w:lang w:val="ru-RU" w:eastAsia="zh-CN" w:bidi="ar-SA"/>
        </w:rPr>
        <w:t>5.2. Прокладка кабелей как наружнего исполнения, так и подземного исполнения должна обеспечить их целостность и работоспособность не менее 5  лет.</w:t>
      </w:r>
    </w:p>
    <w:p>
      <w:pPr>
        <w:pStyle w:val="ConsNormal"/>
        <w:bidi w:val="0"/>
        <w:spacing w:lineRule="auto" w:line="240" w:before="57" w:after="113"/>
        <w:ind w:left="0" w:right="0" w:hanging="0"/>
        <w:contextualSpacing/>
        <w:jc w:val="both"/>
        <w:rPr>
          <w:rFonts w:ascii="Times New Roman" w:hAnsi="Times New Roman" w:eastAsia="Times New Roman" w:cs="Times New Roman"/>
          <w:b w:val="false"/>
          <w:b w:val="false"/>
          <w:bCs w:val="false"/>
          <w:color w:val="000000"/>
          <w:sz w:val="24"/>
          <w:szCs w:val="24"/>
          <w:u w:val="none"/>
          <w:lang w:val="ru-RU" w:eastAsia="zh-CN" w:bidi="ar-SA"/>
        </w:rPr>
      </w:pPr>
      <w:r>
        <w:rPr>
          <w:rFonts w:eastAsia="Times New Roman" w:cs="Times New Roman" w:ascii="Times New Roman" w:hAnsi="Times New Roman"/>
          <w:b w:val="false"/>
          <w:bCs w:val="false"/>
          <w:color w:val="000000"/>
          <w:sz w:val="24"/>
          <w:szCs w:val="24"/>
          <w:u w:val="none"/>
          <w:lang w:val="ru-RU" w:eastAsia="zh-CN" w:bidi="ar-SA"/>
        </w:rPr>
        <w:t>5.3 Оборудование, находящееся за пределами здания должно в полном объеме выполнять свои функции в климатических условиях южной части Приморского края и в условиях близости к линии электропередач напряжением 300 киловольт, также обладать электромагнитной совместимостью.</w:t>
      </w:r>
    </w:p>
    <w:p>
      <w:pPr>
        <w:pStyle w:val="Normal"/>
        <w:bidi w:val="0"/>
        <w:spacing w:before="57" w:after="113"/>
        <w:ind w:left="0" w:right="0" w:hanging="0"/>
        <w:contextualSpacing/>
        <w:jc w:val="both"/>
        <w:rPr>
          <w:rFonts w:eastAsia="Times New Roman" w:cs="Times New Roman"/>
          <w:b/>
          <w:b/>
          <w:bCs/>
          <w:color w:val="000000"/>
          <w:sz w:val="24"/>
          <w:szCs w:val="24"/>
          <w:u w:val="none"/>
          <w:lang w:val="ru-RU" w:eastAsia="zh-CN" w:bidi="ar-SA"/>
        </w:rPr>
      </w:pPr>
      <w:r>
        <w:rPr>
          <w:rFonts w:eastAsia="Times New Roman" w:cs="Times New Roman"/>
          <w:b/>
          <w:bCs/>
          <w:color w:val="000000"/>
          <w:sz w:val="24"/>
          <w:szCs w:val="24"/>
          <w:u w:val="none"/>
          <w:lang w:val="ru-RU" w:eastAsia="zh-CN" w:bidi="ar-SA"/>
        </w:rPr>
        <w:t xml:space="preserve">6. Требования к безопасности </w:t>
      </w:r>
    </w:p>
    <w:p>
      <w:pPr>
        <w:pStyle w:val="Normal"/>
        <w:bidi w:val="0"/>
        <w:spacing w:before="57" w:after="113"/>
        <w:ind w:left="0" w:right="0" w:hanging="0"/>
        <w:contextualSpacing/>
        <w:jc w:val="both"/>
        <w:rPr>
          <w:rFonts w:eastAsia="Times New Roman" w:cs="Times New Roman"/>
          <w:color w:val="000000"/>
          <w:sz w:val="24"/>
          <w:szCs w:val="24"/>
          <w:u w:val="none"/>
          <w:lang w:val="ru-RU" w:eastAsia="zh-CN" w:bidi="ar-SA"/>
        </w:rPr>
      </w:pPr>
      <w:r>
        <w:rPr>
          <w:rFonts w:eastAsia="Times New Roman" w:cs="Times New Roman"/>
          <w:color w:val="000000"/>
          <w:sz w:val="24"/>
          <w:szCs w:val="24"/>
          <w:u w:val="none"/>
          <w:lang w:val="ru-RU" w:eastAsia="zh-CN" w:bidi="ar-SA"/>
        </w:rPr>
        <w:t>6.1. Система электропитания должна обеспечивать защитное отключение при перегрузках и коротких замыканиях в цепях нагрузки, а также аварийное ручное отключение и автоматическое восстановление электропитания после устранения причины неисправности.</w:t>
      </w:r>
    </w:p>
    <w:p>
      <w:pPr>
        <w:pStyle w:val="Normal"/>
        <w:bidi w:val="0"/>
        <w:spacing w:before="57" w:after="113"/>
        <w:ind w:left="0" w:right="0" w:hanging="0"/>
        <w:contextualSpacing/>
        <w:jc w:val="both"/>
        <w:rPr>
          <w:rFonts w:eastAsia="Times New Roman" w:cs="Times New Roman"/>
          <w:color w:val="000000"/>
          <w:sz w:val="24"/>
          <w:szCs w:val="24"/>
          <w:u w:val="none"/>
          <w:lang w:val="ru-RU" w:eastAsia="zh-CN" w:bidi="ar-SA"/>
        </w:rPr>
      </w:pPr>
      <w:r>
        <w:rPr>
          <w:rFonts w:eastAsia="Times New Roman" w:cs="Times New Roman"/>
          <w:color w:val="000000"/>
          <w:sz w:val="24"/>
          <w:szCs w:val="24"/>
          <w:u w:val="none"/>
          <w:lang w:val="ru-RU" w:eastAsia="zh-CN" w:bidi="ar-SA"/>
        </w:rPr>
        <w:t>6.2. Конструкция системы должна обеспечивать его пожарную безопасность в аварийном режиме работы и при нарушении правил эксплуатации.</w:t>
      </w:r>
    </w:p>
    <w:p>
      <w:pPr>
        <w:pStyle w:val="Normal"/>
        <w:bidi w:val="0"/>
        <w:spacing w:before="57" w:after="113"/>
        <w:ind w:left="0" w:right="0" w:hanging="0"/>
        <w:contextualSpacing/>
        <w:jc w:val="both"/>
        <w:rPr>
          <w:rFonts w:eastAsia="Times New Roman" w:cs="Times New Roman"/>
          <w:color w:val="000000"/>
          <w:sz w:val="24"/>
          <w:szCs w:val="24"/>
          <w:u w:val="none"/>
          <w:lang w:val="ru-RU" w:eastAsia="zh-CN" w:bidi="ar-SA"/>
        </w:rPr>
      </w:pPr>
      <w:r>
        <w:rPr>
          <w:rFonts w:eastAsia="Times New Roman" w:cs="Times New Roman"/>
          <w:color w:val="000000"/>
          <w:sz w:val="24"/>
          <w:szCs w:val="24"/>
          <w:u w:val="none"/>
          <w:lang w:val="ru-RU" w:eastAsia="zh-CN" w:bidi="ar-SA"/>
        </w:rPr>
        <w:t>6.3. Факторы, оказывающие вредные воздействия на здоровье, связанные с работой контроллеров СКУД и выполнения ими своих функций, в том числе инфракрасное, ультрафиолетовое, рентгеновское и электромагнитное излучения, вибрация, шум, электростатические поля и т.д., не должны превышать действующих норм СанПиН 2.2.2./2.4.1340-03 от 03.06.2003 г.</w:t>
      </w:r>
    </w:p>
    <w:p>
      <w:pPr>
        <w:pStyle w:val="Normal"/>
        <w:bidi w:val="0"/>
        <w:spacing w:lineRule="auto" w:line="240" w:before="57" w:after="113"/>
        <w:ind w:left="0" w:right="0" w:hanging="0"/>
        <w:contextualSpacing/>
        <w:jc w:val="both"/>
        <w:rPr>
          <w:rFonts w:eastAsia="Times New Roman" w:cs="Times New Roman"/>
          <w:color w:val="000000"/>
          <w:sz w:val="24"/>
          <w:szCs w:val="24"/>
          <w:u w:val="none"/>
          <w:lang w:val="ru-RU" w:eastAsia="zh-CN" w:bidi="ar-SA"/>
        </w:rPr>
      </w:pPr>
      <w:r>
        <w:rPr>
          <w:rFonts w:eastAsia="Times New Roman" w:cs="Times New Roman"/>
          <w:color w:val="000000"/>
          <w:sz w:val="24"/>
          <w:szCs w:val="24"/>
          <w:u w:val="none"/>
          <w:lang w:val="ru-RU" w:eastAsia="zh-CN" w:bidi="ar-SA"/>
        </w:rPr>
      </w:r>
    </w:p>
    <w:p>
      <w:pPr>
        <w:pStyle w:val="Normal"/>
        <w:bidi w:val="0"/>
        <w:spacing w:lineRule="auto" w:line="240" w:before="57" w:after="113"/>
        <w:ind w:left="0" w:right="0" w:hanging="0"/>
        <w:contextualSpacing/>
        <w:jc w:val="both"/>
        <w:rPr>
          <w:rFonts w:eastAsia="Times New Roman" w:cs="Times New Roman"/>
          <w:b/>
          <w:b/>
          <w:color w:val="000000"/>
          <w:sz w:val="24"/>
          <w:szCs w:val="24"/>
          <w:u w:val="none"/>
          <w:lang w:val="ru-RU" w:eastAsia="zh-CN" w:bidi="ar-SA"/>
        </w:rPr>
      </w:pPr>
      <w:r>
        <w:rPr>
          <w:rFonts w:eastAsia="Times New Roman" w:cs="Times New Roman"/>
          <w:b/>
          <w:color w:val="000000"/>
          <w:sz w:val="24"/>
          <w:szCs w:val="24"/>
          <w:u w:val="none"/>
          <w:lang w:val="ru-RU" w:eastAsia="zh-CN" w:bidi="ar-SA"/>
        </w:rPr>
        <w:t>8. Требования к защите информации от несанкционированного доступа</w:t>
      </w:r>
    </w:p>
    <w:p>
      <w:pPr>
        <w:pStyle w:val="Normal"/>
        <w:bidi w:val="0"/>
        <w:spacing w:lineRule="auto" w:line="240" w:before="57" w:after="113"/>
        <w:ind w:left="0" w:right="0" w:hanging="0"/>
        <w:contextualSpacing/>
        <w:jc w:val="both"/>
        <w:rPr>
          <w:rFonts w:eastAsia="Times New Roman" w:cs="Times New Roman"/>
          <w:color w:val="000000"/>
          <w:sz w:val="24"/>
          <w:szCs w:val="24"/>
          <w:u w:val="none"/>
          <w:lang w:val="ru-RU" w:eastAsia="zh-CN" w:bidi="ar-SA"/>
        </w:rPr>
      </w:pPr>
      <w:r>
        <w:rPr>
          <w:rFonts w:eastAsia="Times New Roman" w:cs="Times New Roman"/>
          <w:color w:val="000000"/>
          <w:sz w:val="24"/>
          <w:szCs w:val="24"/>
          <w:u w:val="none"/>
          <w:lang w:val="ru-RU" w:eastAsia="zh-CN" w:bidi="ar-SA"/>
        </w:rPr>
        <w:t>8.1. Программная часть должна обеспечивать защиту от несанкционированного доступа (НСД) на уровне не ниже установленного требованиями, предъявляемыми к категории 1Д по классификации действующего руководящего документа Гостехкомиссии России «Автоматизированные системы. Защита от несанкционированного доступа к информации. Классификация автоматизированных систем» 1992 года и действующими нормативными актами ФСТЭК.</w:t>
      </w:r>
    </w:p>
    <w:p>
      <w:pPr>
        <w:pStyle w:val="Normal"/>
        <w:bidi w:val="0"/>
        <w:spacing w:lineRule="auto" w:line="240" w:before="57" w:after="113"/>
        <w:ind w:left="0" w:right="0" w:hanging="0"/>
        <w:contextualSpacing/>
        <w:jc w:val="both"/>
        <w:rPr>
          <w:rFonts w:eastAsia="Times New Roman" w:cs="Times New Roman"/>
          <w:color w:val="000000"/>
          <w:sz w:val="24"/>
          <w:szCs w:val="24"/>
          <w:u w:val="none"/>
          <w:lang w:val="ru-RU" w:eastAsia="zh-CN" w:bidi="ar-SA"/>
        </w:rPr>
      </w:pPr>
      <w:r>
        <w:rPr>
          <w:rFonts w:eastAsia="Times New Roman" w:cs="Times New Roman"/>
          <w:color w:val="000000"/>
          <w:sz w:val="24"/>
          <w:szCs w:val="24"/>
          <w:u w:val="none"/>
          <w:lang w:val="ru-RU" w:eastAsia="zh-CN" w:bidi="ar-SA"/>
        </w:rPr>
        <w:t xml:space="preserve">8.2. Компоненты подсистемы защиты от НСД должны обеспечивать: </w:t>
      </w:r>
    </w:p>
    <w:p>
      <w:pPr>
        <w:pStyle w:val="Normal"/>
        <w:bidi w:val="0"/>
        <w:spacing w:lineRule="auto" w:line="240" w:before="57" w:after="113"/>
        <w:ind w:left="0" w:right="0" w:hanging="0"/>
        <w:contextualSpacing/>
        <w:jc w:val="both"/>
        <w:rPr>
          <w:rFonts w:eastAsia="Times New Roman" w:cs="Times New Roman"/>
          <w:color w:val="000000"/>
          <w:sz w:val="24"/>
          <w:szCs w:val="24"/>
          <w:u w:val="none"/>
          <w:lang w:val="ru-RU" w:eastAsia="zh-CN" w:bidi="ar-SA"/>
        </w:rPr>
      </w:pPr>
      <w:r>
        <w:rPr>
          <w:rFonts w:eastAsia="Times New Roman" w:cs="Times New Roman"/>
          <w:color w:val="000000"/>
          <w:sz w:val="24"/>
          <w:szCs w:val="24"/>
          <w:u w:val="none"/>
          <w:lang w:val="ru-RU" w:eastAsia="zh-CN" w:bidi="ar-SA"/>
        </w:rPr>
        <w:t>-  идентификацию пользователя;</w:t>
      </w:r>
    </w:p>
    <w:p>
      <w:pPr>
        <w:pStyle w:val="Normal"/>
        <w:bidi w:val="0"/>
        <w:spacing w:lineRule="auto" w:line="240" w:before="57" w:after="113"/>
        <w:ind w:left="0" w:right="0" w:hanging="0"/>
        <w:contextualSpacing/>
        <w:jc w:val="both"/>
        <w:rPr>
          <w:rFonts w:eastAsia="Times New Roman" w:cs="Times New Roman"/>
          <w:color w:val="000000"/>
          <w:sz w:val="24"/>
          <w:szCs w:val="24"/>
          <w:u w:val="none"/>
          <w:lang w:val="ru-RU" w:eastAsia="zh-CN" w:bidi="ar-SA"/>
        </w:rPr>
      </w:pPr>
      <w:r>
        <w:rPr>
          <w:rFonts w:eastAsia="Times New Roman" w:cs="Times New Roman"/>
          <w:color w:val="000000"/>
          <w:sz w:val="24"/>
          <w:szCs w:val="24"/>
          <w:u w:val="none"/>
          <w:lang w:val="ru-RU" w:eastAsia="zh-CN" w:bidi="ar-SA"/>
        </w:rPr>
        <w:t>-  проверку полномочий пользователя при работе с системой;</w:t>
      </w:r>
    </w:p>
    <w:p>
      <w:pPr>
        <w:pStyle w:val="Normal"/>
        <w:bidi w:val="0"/>
        <w:spacing w:lineRule="auto" w:line="240" w:before="57" w:after="113"/>
        <w:ind w:left="0" w:right="0" w:hanging="0"/>
        <w:contextualSpacing/>
        <w:jc w:val="both"/>
        <w:rPr>
          <w:rFonts w:eastAsia="Times New Roman" w:cs="Times New Roman"/>
          <w:color w:val="000000"/>
          <w:sz w:val="24"/>
          <w:szCs w:val="24"/>
          <w:u w:val="none"/>
          <w:lang w:val="ru-RU" w:eastAsia="zh-CN" w:bidi="ar-SA"/>
        </w:rPr>
      </w:pPr>
      <w:r>
        <w:rPr>
          <w:rFonts w:eastAsia="Times New Roman" w:cs="Times New Roman"/>
          <w:color w:val="000000"/>
          <w:sz w:val="24"/>
          <w:szCs w:val="24"/>
          <w:u w:val="none"/>
          <w:lang w:val="ru-RU" w:eastAsia="zh-CN" w:bidi="ar-SA"/>
        </w:rPr>
        <w:t>-  разграничение доступа пользователей на уровне задач и информационных массивов.</w:t>
      </w:r>
    </w:p>
    <w:p>
      <w:pPr>
        <w:pStyle w:val="Normal"/>
        <w:tabs>
          <w:tab w:val="left" w:pos="613" w:leader="none"/>
        </w:tabs>
        <w:bidi w:val="0"/>
        <w:spacing w:lineRule="auto" w:line="240" w:before="57" w:after="57"/>
        <w:ind w:left="0" w:right="0" w:hanging="0"/>
        <w:jc w:val="both"/>
        <w:rPr>
          <w:rFonts w:eastAsia="Times New Roman" w:cs="Times New Roman"/>
          <w:b/>
          <w:b/>
          <w:color w:val="000000"/>
          <w:sz w:val="24"/>
          <w:szCs w:val="24"/>
          <w:u w:val="none"/>
          <w:lang w:val="ru-RU" w:eastAsia="zh-CN" w:bidi="ar-SA"/>
        </w:rPr>
      </w:pPr>
      <w:r>
        <w:rPr>
          <w:rFonts w:eastAsia="Times New Roman" w:cs="Times New Roman"/>
          <w:b/>
          <w:color w:val="000000"/>
          <w:sz w:val="24"/>
          <w:szCs w:val="24"/>
          <w:u w:val="none"/>
          <w:lang w:val="ru-RU" w:eastAsia="zh-CN" w:bidi="ar-SA"/>
        </w:rPr>
        <w:t>9. Основные требования к выполнению работ</w:t>
      </w:r>
    </w:p>
    <w:p>
      <w:pPr>
        <w:pStyle w:val="Normal"/>
        <w:tabs>
          <w:tab w:val="left" w:pos="613" w:leader="none"/>
        </w:tabs>
        <w:bidi w:val="0"/>
        <w:spacing w:lineRule="auto" w:line="240" w:before="57" w:after="57"/>
        <w:ind w:left="0" w:right="0" w:hanging="0"/>
        <w:jc w:val="both"/>
        <w:rPr>
          <w:rFonts w:eastAsia="Times New Roman" w:cs="Times New Roman"/>
          <w:color w:val="000000"/>
          <w:sz w:val="24"/>
          <w:szCs w:val="24"/>
          <w:u w:val="none"/>
          <w:lang w:val="ru-RU" w:eastAsia="zh-CN" w:bidi="ar-SA"/>
        </w:rPr>
      </w:pPr>
      <w:r>
        <w:rPr>
          <w:rFonts w:eastAsia="Times New Roman" w:cs="Times New Roman"/>
          <w:color w:val="000000"/>
          <w:sz w:val="24"/>
          <w:szCs w:val="24"/>
          <w:u w:val="none"/>
          <w:lang w:val="ru-RU" w:eastAsia="zh-CN" w:bidi="ar-SA"/>
        </w:rPr>
        <w:t>9.1. К работам допускаются граждане представившие в СБ заказчика не менее чем 1 сутки до начала работ документы, подтверждающие соответствие требованиям раздела 9 настоящего ТЗ.</w:t>
      </w:r>
    </w:p>
    <w:p>
      <w:pPr>
        <w:pStyle w:val="Normal"/>
        <w:tabs>
          <w:tab w:val="left" w:pos="613" w:leader="none"/>
        </w:tabs>
        <w:bidi w:val="0"/>
        <w:spacing w:lineRule="auto" w:line="240" w:before="57" w:after="57"/>
        <w:ind w:left="0" w:right="0" w:hanging="0"/>
        <w:jc w:val="both"/>
        <w:rPr>
          <w:rFonts w:eastAsia="Times New Roman" w:cs="Times New Roman"/>
          <w:color w:val="000000"/>
          <w:sz w:val="24"/>
          <w:szCs w:val="24"/>
          <w:u w:val="none"/>
          <w:lang w:val="ru-RU" w:eastAsia="zh-CN" w:bidi="ar-SA"/>
        </w:rPr>
      </w:pPr>
      <w:r>
        <w:rPr>
          <w:rFonts w:eastAsia="Times New Roman" w:cs="Times New Roman"/>
          <w:color w:val="000000"/>
          <w:sz w:val="24"/>
          <w:szCs w:val="24"/>
          <w:u w:val="none"/>
          <w:lang w:val="ru-RU" w:eastAsia="zh-CN" w:bidi="ar-SA"/>
        </w:rPr>
        <w:t>9.2. К работам не допускаются:</w:t>
      </w:r>
    </w:p>
    <w:p>
      <w:pPr>
        <w:pStyle w:val="Style28"/>
        <w:tabs>
          <w:tab w:val="left" w:pos="613" w:leader="none"/>
        </w:tabs>
        <w:bidi w:val="0"/>
        <w:spacing w:lineRule="auto" w:line="240" w:before="57" w:after="57"/>
        <w:ind w:left="0" w:right="0" w:hanging="0"/>
        <w:jc w:val="both"/>
        <w:rPr>
          <w:rFonts w:eastAsia="Times New Roman" w:cs="Times New Roman"/>
          <w:b w:val="false"/>
          <w:b w:val="false"/>
          <w:i w:val="false"/>
          <w:i w:val="false"/>
          <w:caps w:val="false"/>
          <w:smallCaps w:val="false"/>
          <w:color w:val="000000"/>
          <w:spacing w:val="0"/>
          <w:sz w:val="24"/>
          <w:szCs w:val="24"/>
          <w:u w:val="none"/>
          <w:lang w:val="ru-RU" w:eastAsia="zh-CN" w:bidi="ar-SA"/>
        </w:rPr>
      </w:pPr>
      <w:r>
        <w:rPr>
          <w:rFonts w:eastAsia="Times New Roman" w:cs="Times New Roman"/>
          <w:b w:val="false"/>
          <w:i w:val="false"/>
          <w:caps w:val="false"/>
          <w:smallCaps w:val="false"/>
          <w:color w:val="000000"/>
          <w:spacing w:val="0"/>
          <w:sz w:val="24"/>
          <w:szCs w:val="24"/>
          <w:u w:val="none"/>
          <w:lang w:val="ru-RU" w:eastAsia="zh-CN" w:bidi="ar-SA"/>
        </w:rPr>
        <w:t>- имеющие неснятую или непогашенную судимость за совершение умышленного преступления;</w:t>
      </w:r>
    </w:p>
    <w:p>
      <w:pPr>
        <w:pStyle w:val="Style28"/>
        <w:widowControl/>
        <w:numPr>
          <w:ilvl w:val="0"/>
          <w:numId w:val="0"/>
        </w:numPr>
        <w:tabs>
          <w:tab w:val="left" w:pos="613" w:leader="none"/>
        </w:tabs>
        <w:bidi w:val="0"/>
        <w:spacing w:before="57" w:after="57"/>
        <w:ind w:left="707" w:right="0" w:hanging="0"/>
        <w:jc w:val="left"/>
        <w:rPr>
          <w:rFonts w:eastAsia="Times New Roman" w:cs="Times New Roman"/>
          <w:b w:val="false"/>
          <w:b w:val="false"/>
          <w:i w:val="false"/>
          <w:i w:val="false"/>
          <w:caps w:val="false"/>
          <w:smallCaps w:val="false"/>
          <w:color w:val="000000"/>
          <w:spacing w:val="0"/>
          <w:sz w:val="24"/>
          <w:szCs w:val="24"/>
          <w:u w:val="none"/>
          <w:lang w:val="ru-RU" w:eastAsia="zh-CN" w:bidi="ar-SA"/>
        </w:rPr>
      </w:pPr>
      <w:r>
        <w:rPr>
          <w:rFonts w:eastAsia="Times New Roman" w:cs="Times New Roman"/>
          <w:b w:val="false"/>
          <w:i w:val="false"/>
          <w:caps w:val="false"/>
          <w:smallCaps w:val="false"/>
          <w:color w:val="000000"/>
          <w:spacing w:val="0"/>
          <w:sz w:val="24"/>
          <w:szCs w:val="24"/>
          <w:u w:val="none"/>
          <w:lang w:val="ru-RU" w:eastAsia="zh-CN" w:bidi="ar-SA"/>
        </w:rPr>
        <w:t>- состоящие на учёте в учреждениях органов здравоохранения по поводу психического заболевания, алкоголизма или наркомании;</w:t>
      </w:r>
    </w:p>
    <w:p>
      <w:pPr>
        <w:pStyle w:val="Style28"/>
        <w:widowControl/>
        <w:numPr>
          <w:ilvl w:val="0"/>
          <w:numId w:val="0"/>
        </w:numPr>
        <w:tabs>
          <w:tab w:val="left" w:pos="613" w:leader="none"/>
        </w:tabs>
        <w:bidi w:val="0"/>
        <w:spacing w:before="57" w:after="57"/>
        <w:ind w:left="707" w:right="0" w:hanging="0"/>
        <w:jc w:val="left"/>
        <w:rPr>
          <w:rFonts w:eastAsia="Times New Roman" w:cs="Times New Roman"/>
          <w:b w:val="false"/>
          <w:b w:val="false"/>
          <w:i w:val="false"/>
          <w:i w:val="false"/>
          <w:caps w:val="false"/>
          <w:smallCaps w:val="false"/>
          <w:color w:val="000000"/>
          <w:spacing w:val="0"/>
          <w:sz w:val="24"/>
          <w:szCs w:val="24"/>
          <w:u w:val="none"/>
          <w:lang w:val="ru-RU" w:eastAsia="zh-CN" w:bidi="ar-SA"/>
        </w:rPr>
      </w:pPr>
      <w:r>
        <w:rPr>
          <w:rFonts w:eastAsia="Times New Roman" w:cs="Times New Roman"/>
          <w:b w:val="false"/>
          <w:i w:val="false"/>
          <w:caps w:val="false"/>
          <w:smallCaps w:val="false"/>
          <w:color w:val="000000"/>
          <w:spacing w:val="0"/>
          <w:sz w:val="24"/>
          <w:szCs w:val="24"/>
          <w:u w:val="none"/>
          <w:lang w:val="ru-RU" w:eastAsia="zh-CN" w:bidi="ar-SA"/>
        </w:rPr>
        <w:t>- досрочно прекратившие полномочия по государственной должности или уволенные с государственной службы (в том числе из правоохранительных органов, органов прокуратуры или судебных органов) по основаниям, связанным с дисциплинарным проступком, грубым или систематическим нарушением дисциплины, проступком, порочащим честь государственного служащего, утратой доверия, если после такого увольнения прошло менее трёх лет;</w:t>
      </w:r>
    </w:p>
    <w:p>
      <w:pPr>
        <w:pStyle w:val="Style28"/>
        <w:widowControl/>
        <w:numPr>
          <w:ilvl w:val="0"/>
          <w:numId w:val="0"/>
        </w:numPr>
        <w:tabs>
          <w:tab w:val="left" w:pos="613" w:leader="none"/>
        </w:tabs>
        <w:bidi w:val="0"/>
        <w:spacing w:before="57" w:after="57"/>
        <w:ind w:left="707" w:right="0" w:hanging="0"/>
        <w:jc w:val="left"/>
        <w:rPr>
          <w:rFonts w:eastAsia="Times New Roman" w:cs="Times New Roman"/>
          <w:b w:val="false"/>
          <w:b w:val="false"/>
          <w:i w:val="false"/>
          <w:i w:val="false"/>
          <w:caps w:val="false"/>
          <w:smallCaps w:val="false"/>
          <w:color w:val="000000"/>
          <w:spacing w:val="0"/>
          <w:sz w:val="24"/>
          <w:szCs w:val="24"/>
          <w:u w:val="none"/>
          <w:lang w:val="ru-RU" w:eastAsia="zh-CN" w:bidi="ar-SA"/>
        </w:rPr>
      </w:pPr>
      <w:r>
        <w:rPr>
          <w:rFonts w:eastAsia="Times New Roman" w:cs="Times New Roman"/>
          <w:b w:val="false"/>
          <w:i w:val="false"/>
          <w:caps w:val="false"/>
          <w:smallCaps w:val="false"/>
          <w:color w:val="000000"/>
          <w:spacing w:val="0"/>
          <w:sz w:val="24"/>
          <w:szCs w:val="24"/>
          <w:u w:val="none"/>
          <w:lang w:val="ru-RU" w:eastAsia="zh-CN" w:bidi="ar-SA"/>
        </w:rPr>
        <w:t>- являющиеся иностранными гражданами, гражданами Российской Федерации, имеющими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либо лицами без гражданства</w:t>
      </w:r>
    </w:p>
    <w:p>
      <w:pPr>
        <w:pStyle w:val="Style28"/>
        <w:widowControl/>
        <w:numPr>
          <w:ilvl w:val="0"/>
          <w:numId w:val="0"/>
        </w:numPr>
        <w:tabs>
          <w:tab w:val="left" w:pos="613" w:leader="none"/>
        </w:tabs>
        <w:bidi w:val="0"/>
        <w:spacing w:before="57" w:after="57"/>
        <w:ind w:left="707" w:right="0" w:hanging="0"/>
        <w:jc w:val="left"/>
        <w:rPr>
          <w:rFonts w:eastAsia="Times New Roman" w:cs="Times New Roman"/>
          <w:b w:val="false"/>
          <w:b w:val="false"/>
          <w:i w:val="false"/>
          <w:i w:val="false"/>
          <w:caps w:val="false"/>
          <w:smallCaps w:val="false"/>
          <w:color w:val="000000"/>
          <w:spacing w:val="0"/>
          <w:sz w:val="24"/>
          <w:szCs w:val="24"/>
          <w:u w:val="none"/>
          <w:lang w:val="ru-RU" w:eastAsia="zh-CN" w:bidi="ar-SA"/>
        </w:rPr>
      </w:pPr>
      <w:r>
        <w:rPr>
          <w:rFonts w:eastAsia="Times New Roman" w:cs="Times New Roman"/>
          <w:b w:val="false"/>
          <w:i w:val="false"/>
          <w:caps w:val="false"/>
          <w:smallCaps w:val="false"/>
          <w:color w:val="000000"/>
          <w:spacing w:val="0"/>
          <w:sz w:val="24"/>
          <w:szCs w:val="24"/>
          <w:u w:val="none"/>
          <w:lang w:val="ru-RU" w:eastAsia="zh-CN" w:bidi="ar-SA"/>
        </w:rPr>
        <w:t>- представившие недостоверные или неполные сведения по позициям, указанным в настоящем пункте;</w:t>
      </w:r>
    </w:p>
    <w:p>
      <w:pPr>
        <w:pStyle w:val="Style28"/>
        <w:widowControl/>
        <w:numPr>
          <w:ilvl w:val="0"/>
          <w:numId w:val="0"/>
        </w:numPr>
        <w:tabs>
          <w:tab w:val="left" w:pos="613" w:leader="none"/>
        </w:tabs>
        <w:bidi w:val="0"/>
        <w:spacing w:before="57" w:after="57"/>
        <w:ind w:left="707" w:right="0" w:hanging="0"/>
        <w:jc w:val="left"/>
        <w:rPr>
          <w:rFonts w:eastAsia="Times New Roman" w:cs="Times New Roman"/>
          <w:b w:val="false"/>
          <w:b w:val="false"/>
          <w:i w:val="false"/>
          <w:i w:val="false"/>
          <w:caps w:val="false"/>
          <w:smallCaps w:val="false"/>
          <w:color w:val="000000"/>
          <w:spacing w:val="0"/>
          <w:sz w:val="24"/>
          <w:szCs w:val="24"/>
          <w:u w:val="none"/>
          <w:lang w:val="ru-RU" w:eastAsia="zh-CN" w:bidi="ar-SA"/>
        </w:rPr>
      </w:pPr>
      <w:r>
        <w:rPr>
          <w:rFonts w:eastAsia="Times New Roman" w:cs="Times New Roman"/>
          <w:b w:val="false"/>
          <w:i w:val="false"/>
          <w:caps w:val="false"/>
          <w:smallCaps w:val="false"/>
          <w:color w:val="000000"/>
          <w:spacing w:val="0"/>
          <w:sz w:val="24"/>
          <w:szCs w:val="24"/>
          <w:u w:val="none"/>
          <w:lang w:val="ru-RU" w:eastAsia="zh-CN" w:bidi="ar-SA"/>
        </w:rPr>
        <w:t>9.3. Для согласования пропуска на охраняемую территорию:</w:t>
      </w:r>
    </w:p>
    <w:p>
      <w:pPr>
        <w:pStyle w:val="Style28"/>
        <w:widowControl/>
        <w:numPr>
          <w:ilvl w:val="0"/>
          <w:numId w:val="0"/>
        </w:numPr>
        <w:tabs>
          <w:tab w:val="left" w:pos="613" w:leader="none"/>
        </w:tabs>
        <w:bidi w:val="0"/>
        <w:spacing w:before="57" w:after="57"/>
        <w:ind w:left="707" w:right="0" w:hanging="0"/>
        <w:jc w:val="left"/>
        <w:rPr>
          <w:rFonts w:eastAsia="Times New Roman" w:cs="Times New Roman"/>
          <w:b w:val="false"/>
          <w:b w:val="false"/>
          <w:i w:val="false"/>
          <w:i w:val="false"/>
          <w:caps w:val="false"/>
          <w:smallCaps w:val="false"/>
          <w:color w:val="00000A"/>
          <w:spacing w:val="0"/>
          <w:sz w:val="24"/>
          <w:szCs w:val="24"/>
          <w:u w:val="none"/>
          <w:lang w:val="ru-RU" w:eastAsia="zh-CN" w:bidi="ar-SA"/>
        </w:rPr>
      </w:pPr>
      <w:r>
        <w:rPr>
          <w:rFonts w:eastAsia="Times New Roman" w:cs="Times New Roman"/>
          <w:b w:val="false"/>
          <w:i w:val="false"/>
          <w:caps w:val="false"/>
          <w:smallCaps w:val="false"/>
          <w:color w:val="00000A"/>
          <w:spacing w:val="0"/>
          <w:sz w:val="24"/>
          <w:szCs w:val="24"/>
          <w:u w:val="none"/>
          <w:lang w:val="ru-RU" w:eastAsia="zh-CN" w:bidi="ar-SA"/>
        </w:rPr>
        <w:t>9.3.1. предоставить в СБ заказчика: копию паспорта, согласие на обработку персональных данных, копию приказа о приеме на работу к исполнителю. При привлечении к работам субподрядной организации, дополнительно предоставить договор субподряда.</w:t>
      </w:r>
    </w:p>
    <w:p>
      <w:pPr>
        <w:pStyle w:val="Style28"/>
        <w:widowControl/>
        <w:numPr>
          <w:ilvl w:val="0"/>
          <w:numId w:val="0"/>
        </w:numPr>
        <w:tabs>
          <w:tab w:val="left" w:pos="613" w:leader="none"/>
        </w:tabs>
        <w:bidi w:val="0"/>
        <w:spacing w:before="57" w:after="57"/>
        <w:ind w:left="707" w:right="0" w:hanging="0"/>
        <w:jc w:val="left"/>
        <w:rPr/>
      </w:pPr>
      <w:r>
        <w:rPr>
          <w:rFonts w:eastAsia="Times New Roman" w:cs="Times New Roman"/>
          <w:b w:val="false"/>
          <w:i w:val="false"/>
          <w:caps w:val="false"/>
          <w:smallCaps w:val="false"/>
          <w:color w:val="00000A"/>
          <w:spacing w:val="0"/>
          <w:sz w:val="24"/>
          <w:szCs w:val="24"/>
          <w:u w:val="none"/>
          <w:lang w:val="ru-RU" w:eastAsia="zh-CN" w:bidi="ar-SA"/>
        </w:rPr>
        <w:t>9.3.2. полу</w:t>
      </w:r>
      <w:r>
        <w:rPr>
          <w:rFonts w:eastAsia="Times New Roman" w:cs="Times New Roman"/>
          <w:b w:val="false"/>
          <w:i w:val="false"/>
          <w:caps w:val="false"/>
          <w:smallCaps w:val="false"/>
          <w:color w:val="000000"/>
          <w:spacing w:val="0"/>
          <w:sz w:val="24"/>
          <w:szCs w:val="24"/>
          <w:u w:val="none"/>
          <w:lang w:val="ru-RU" w:eastAsia="zh-CN" w:bidi="ar-SA"/>
        </w:rPr>
        <w:t>чить допуск к работам в электроустановках.</w:t>
      </w:r>
    </w:p>
    <w:p>
      <w:pPr>
        <w:pStyle w:val="Style28"/>
        <w:widowControl/>
        <w:numPr>
          <w:ilvl w:val="0"/>
          <w:numId w:val="0"/>
        </w:numPr>
        <w:tabs>
          <w:tab w:val="left" w:pos="613" w:leader="none"/>
        </w:tabs>
        <w:bidi w:val="0"/>
        <w:spacing w:before="57" w:after="57"/>
        <w:ind w:left="707" w:right="0" w:hanging="0"/>
        <w:jc w:val="left"/>
        <w:rPr>
          <w:rFonts w:eastAsia="Times New Roman" w:cs="Times New Roman"/>
          <w:b w:val="false"/>
          <w:b w:val="false"/>
          <w:i w:val="false"/>
          <w:i w:val="false"/>
          <w:caps w:val="false"/>
          <w:smallCaps w:val="false"/>
          <w:color w:val="000000"/>
          <w:spacing w:val="0"/>
          <w:sz w:val="24"/>
          <w:szCs w:val="24"/>
          <w:u w:val="none"/>
          <w:lang w:val="ru-RU" w:eastAsia="zh-CN" w:bidi="ar-SA"/>
        </w:rPr>
      </w:pPr>
      <w:r>
        <w:rPr>
          <w:rFonts w:eastAsia="Times New Roman" w:cs="Times New Roman"/>
          <w:b w:val="false"/>
          <w:i w:val="false"/>
          <w:caps w:val="false"/>
          <w:smallCaps w:val="false"/>
          <w:color w:val="000000"/>
          <w:spacing w:val="0"/>
          <w:sz w:val="24"/>
          <w:szCs w:val="24"/>
          <w:u w:val="none"/>
          <w:lang w:val="ru-RU" w:eastAsia="zh-CN" w:bidi="ar-SA"/>
        </w:rPr>
        <w:t>9.4. заказчик оставляет за собой право отказать в допуске на территорию объекта без указания причин, при этом он не несет ответственности за вызванные таким отказом последствия.</w:t>
      </w:r>
    </w:p>
    <w:p>
      <w:pPr>
        <w:pStyle w:val="Normal"/>
        <w:tabs>
          <w:tab w:val="left" w:pos="613" w:leader="none"/>
        </w:tabs>
        <w:bidi w:val="0"/>
        <w:spacing w:lineRule="auto" w:line="240" w:before="57" w:after="57"/>
        <w:ind w:left="0" w:right="0" w:hanging="0"/>
        <w:jc w:val="both"/>
        <w:rPr>
          <w:sz w:val="24"/>
          <w:szCs w:val="24"/>
        </w:rPr>
      </w:pPr>
      <w:r>
        <w:rPr>
          <w:sz w:val="24"/>
          <w:szCs w:val="24"/>
        </w:rPr>
        <w:t>9.5. При проводке кабельных линий не повреждать технические и инженерные коммуникации, предотвратить доступ к ним посторонних лиц.</w:t>
      </w:r>
    </w:p>
    <w:p>
      <w:pPr>
        <w:pStyle w:val="Normal"/>
        <w:tabs>
          <w:tab w:val="left" w:pos="613" w:leader="none"/>
        </w:tabs>
        <w:bidi w:val="0"/>
        <w:spacing w:lineRule="auto" w:line="240" w:before="57" w:after="57"/>
        <w:ind w:left="0" w:right="0" w:hanging="0"/>
        <w:jc w:val="both"/>
        <w:rPr/>
      </w:pPr>
      <w:r>
        <w:rPr>
          <w:sz w:val="24"/>
          <w:szCs w:val="24"/>
        </w:rPr>
        <w:t>9.6.  Все работы выполняются в соответствии с действующим законодательством РФ с обязательным выполнением норм и правил охраны труда, пожарной безопасности и техники безопасности, производственной санитарии, учитывая специфику здания и соблюдением внутреннего распорядка нахождения на охраняемой территории (</w:t>
      </w:r>
      <w:r>
        <w:rPr>
          <w:color w:val="000000"/>
          <w:sz w:val="24"/>
          <w:szCs w:val="24"/>
        </w:rPr>
        <w:t>соблюдать режимные требования и пропускной режим, установленные на объекте).</w:t>
      </w:r>
    </w:p>
    <w:p>
      <w:pPr>
        <w:pStyle w:val="Normal"/>
        <w:tabs>
          <w:tab w:val="left" w:pos="613" w:leader="none"/>
        </w:tabs>
        <w:bidi w:val="0"/>
        <w:spacing w:lineRule="auto" w:line="240" w:before="57" w:after="57"/>
        <w:ind w:left="0" w:right="0" w:hanging="0"/>
        <w:jc w:val="both"/>
        <w:rPr>
          <w:sz w:val="24"/>
          <w:szCs w:val="24"/>
        </w:rPr>
      </w:pPr>
      <w:r>
        <w:rPr>
          <w:sz w:val="24"/>
          <w:szCs w:val="24"/>
        </w:rPr>
        <w:t>9.7. При выполнении строительно-монтажных работ соблюдать требования:</w:t>
      </w:r>
    </w:p>
    <w:p>
      <w:pPr>
        <w:pStyle w:val="Normal"/>
        <w:tabs>
          <w:tab w:val="left" w:pos="613" w:leader="none"/>
        </w:tabs>
        <w:bidi w:val="0"/>
        <w:spacing w:lineRule="auto" w:line="240" w:before="57" w:after="57"/>
        <w:ind w:left="0" w:right="0" w:hanging="0"/>
        <w:jc w:val="both"/>
        <w:rPr>
          <w:sz w:val="24"/>
          <w:szCs w:val="24"/>
        </w:rPr>
      </w:pPr>
      <w:r>
        <w:rPr>
          <w:sz w:val="24"/>
          <w:szCs w:val="24"/>
        </w:rPr>
        <w:t>-  техники безопасности, охраны труда своих работников;</w:t>
      </w:r>
    </w:p>
    <w:p>
      <w:pPr>
        <w:pStyle w:val="Normal"/>
        <w:tabs>
          <w:tab w:val="left" w:pos="613" w:leader="none"/>
        </w:tabs>
        <w:bidi w:val="0"/>
        <w:spacing w:lineRule="auto" w:line="240" w:before="57" w:after="57"/>
        <w:ind w:left="0" w:right="0" w:hanging="0"/>
        <w:jc w:val="both"/>
        <w:rPr>
          <w:sz w:val="24"/>
          <w:szCs w:val="24"/>
        </w:rPr>
      </w:pPr>
      <w:r>
        <w:rPr>
          <w:sz w:val="24"/>
          <w:szCs w:val="24"/>
        </w:rPr>
        <w:t>-  правил и норм пожарной безопасности;</w:t>
      </w:r>
    </w:p>
    <w:p>
      <w:pPr>
        <w:pStyle w:val="Normal"/>
        <w:tabs>
          <w:tab w:val="left" w:pos="613" w:leader="none"/>
        </w:tabs>
        <w:bidi w:val="0"/>
        <w:spacing w:lineRule="auto" w:line="240" w:before="57" w:after="57"/>
        <w:ind w:left="0" w:right="0" w:hanging="0"/>
        <w:jc w:val="both"/>
        <w:rPr>
          <w:sz w:val="24"/>
          <w:szCs w:val="24"/>
        </w:rPr>
      </w:pPr>
      <w:r>
        <w:rPr>
          <w:sz w:val="24"/>
          <w:szCs w:val="24"/>
        </w:rPr>
        <w:t>-  правил и норм экологической безопасности.</w:t>
      </w:r>
    </w:p>
    <w:p>
      <w:pPr>
        <w:pStyle w:val="Normal"/>
        <w:tabs>
          <w:tab w:val="left" w:pos="613" w:leader="none"/>
        </w:tabs>
        <w:bidi w:val="0"/>
        <w:spacing w:lineRule="auto" w:line="240" w:before="57" w:after="57"/>
        <w:ind w:left="0" w:right="0" w:hanging="0"/>
        <w:jc w:val="both"/>
        <w:rPr/>
      </w:pPr>
      <w:r>
        <w:rPr>
          <w:color w:val="000000"/>
          <w:sz w:val="24"/>
          <w:szCs w:val="24"/>
        </w:rPr>
        <w:t xml:space="preserve">9.8. </w:t>
      </w:r>
      <w:r>
        <w:rPr>
          <w:sz w:val="24"/>
          <w:szCs w:val="24"/>
        </w:rPr>
        <w:t>Подрядчик должен гарантировать качество выполненных работ и используемых материалов.</w:t>
      </w:r>
    </w:p>
    <w:p>
      <w:pPr>
        <w:pStyle w:val="Normal"/>
        <w:bidi w:val="0"/>
        <w:spacing w:lineRule="auto" w:line="240" w:before="57" w:after="113"/>
        <w:ind w:left="0" w:right="0" w:hanging="0"/>
        <w:contextualSpacing/>
        <w:jc w:val="both"/>
        <w:rPr>
          <w:color w:val="000000"/>
          <w:sz w:val="24"/>
          <w:szCs w:val="24"/>
        </w:rPr>
      </w:pPr>
      <w:r>
        <w:rPr>
          <w:color w:val="000000"/>
          <w:sz w:val="24"/>
          <w:szCs w:val="24"/>
        </w:rPr>
        <w:t>9.9. Определить и согласовать с Заказчиком установку строительной техники и грузоподъемных механизмов (при необходимости). Определить и согласовать места расположения контейнеров-накопителей для строительного мусора.</w:t>
      </w:r>
    </w:p>
    <w:p>
      <w:pPr>
        <w:pStyle w:val="Normal"/>
        <w:bidi w:val="0"/>
        <w:spacing w:lineRule="auto" w:line="240" w:before="57" w:after="113"/>
        <w:ind w:left="0" w:right="0" w:hanging="0"/>
        <w:contextualSpacing/>
        <w:jc w:val="both"/>
        <w:rPr>
          <w:color w:val="000000"/>
          <w:sz w:val="24"/>
          <w:szCs w:val="24"/>
        </w:rPr>
      </w:pPr>
      <w:r>
        <w:rPr>
          <w:color w:val="000000"/>
          <w:sz w:val="24"/>
          <w:szCs w:val="24"/>
        </w:rPr>
        <w:t>9.10. Подрядчику при выполнении работ по требованию Заказчика представлять исполнительную документацию, сертификаты, санитарно-эпидемиологические заключения и паспорта завода-изготовителя на используемые материалы.</w:t>
      </w:r>
    </w:p>
    <w:p>
      <w:pPr>
        <w:pStyle w:val="Normal"/>
        <w:bidi w:val="0"/>
        <w:spacing w:lineRule="auto" w:line="240" w:before="57" w:after="113"/>
        <w:ind w:left="0" w:right="0" w:hanging="0"/>
        <w:contextualSpacing/>
        <w:jc w:val="both"/>
        <w:rPr/>
      </w:pPr>
      <w:r>
        <w:rPr>
          <w:color w:val="000000"/>
          <w:sz w:val="24"/>
          <w:szCs w:val="24"/>
        </w:rPr>
        <w:t>9.11. П</w:t>
      </w:r>
      <w:r>
        <w:rPr>
          <w:sz w:val="24"/>
          <w:szCs w:val="24"/>
        </w:rPr>
        <w:t>ри проведении работ использовать современные технологии и строительные материалы.</w:t>
      </w:r>
    </w:p>
    <w:p>
      <w:pPr>
        <w:pStyle w:val="Normal"/>
        <w:bidi w:val="0"/>
        <w:spacing w:lineRule="auto" w:line="240" w:before="57" w:after="113"/>
        <w:ind w:left="0" w:right="0" w:hanging="0"/>
        <w:contextualSpacing/>
        <w:jc w:val="both"/>
        <w:rPr/>
      </w:pPr>
      <w:r>
        <w:rPr>
          <w:color w:val="000000"/>
          <w:sz w:val="24"/>
          <w:szCs w:val="24"/>
        </w:rPr>
        <w:t>9.12. Подрядчик должен предусмотреть следующие ограничения производства работ</w:t>
      </w:r>
      <w:r>
        <w:rPr>
          <w:sz w:val="24"/>
          <w:szCs w:val="24"/>
        </w:rPr>
        <w:t>:</w:t>
      </w:r>
    </w:p>
    <w:p>
      <w:pPr>
        <w:pStyle w:val="Normal"/>
        <w:bidi w:val="0"/>
        <w:spacing w:lineRule="auto" w:line="240" w:before="57" w:after="113"/>
        <w:ind w:left="0" w:right="0" w:hanging="0"/>
        <w:contextualSpacing/>
        <w:jc w:val="both"/>
        <w:rPr>
          <w:sz w:val="24"/>
          <w:szCs w:val="24"/>
        </w:rPr>
      </w:pPr>
      <w:r>
        <w:rPr>
          <w:sz w:val="24"/>
          <w:szCs w:val="24"/>
        </w:rPr>
        <w:t>-   не производить работы в воскресные и праздничные нерабочие дни;</w:t>
      </w:r>
    </w:p>
    <w:p>
      <w:pPr>
        <w:pStyle w:val="Normal"/>
        <w:bidi w:val="0"/>
        <w:spacing w:lineRule="auto" w:line="240" w:before="57" w:after="113"/>
        <w:ind w:left="0" w:right="0" w:hanging="0"/>
        <w:contextualSpacing/>
        <w:jc w:val="both"/>
        <w:rPr>
          <w:sz w:val="24"/>
          <w:szCs w:val="24"/>
        </w:rPr>
      </w:pPr>
      <w:r>
        <w:rPr>
          <w:sz w:val="24"/>
          <w:szCs w:val="24"/>
        </w:rPr>
        <w:t>-  не начинать работы, сопряженные с шумом, ранее 08.00 и (или) заканчивать их позднее 17.00;</w:t>
      </w:r>
    </w:p>
    <w:p>
      <w:pPr>
        <w:pStyle w:val="Normal"/>
        <w:bidi w:val="0"/>
        <w:spacing w:lineRule="auto" w:line="240" w:before="57" w:after="113"/>
        <w:ind w:left="0" w:right="0" w:hanging="0"/>
        <w:contextualSpacing/>
        <w:jc w:val="both"/>
        <w:rPr>
          <w:sz w:val="24"/>
          <w:szCs w:val="24"/>
        </w:rPr>
      </w:pPr>
      <w:r>
        <w:rPr>
          <w:sz w:val="24"/>
          <w:szCs w:val="24"/>
        </w:rPr>
        <w:t>-  не применять при производстве работ оборудование и инструменты, вызывающие превышение нормативно допустимого уровня шума и вибрации;</w:t>
      </w:r>
    </w:p>
    <w:p>
      <w:pPr>
        <w:pStyle w:val="Normal"/>
        <w:bidi w:val="0"/>
        <w:spacing w:lineRule="auto" w:line="240" w:before="57" w:after="113"/>
        <w:ind w:left="0" w:right="0" w:hanging="0"/>
        <w:contextualSpacing/>
        <w:jc w:val="both"/>
        <w:rPr>
          <w:sz w:val="24"/>
          <w:szCs w:val="24"/>
        </w:rPr>
      </w:pPr>
      <w:r>
        <w:rPr>
          <w:sz w:val="24"/>
          <w:szCs w:val="24"/>
        </w:rPr>
        <w:t>-  в обязательном порядке проводить мероприятия, исключающие протечки, образование трещин и разрушение стен и потолков в смежных помещениях;</w:t>
      </w:r>
    </w:p>
    <w:p>
      <w:pPr>
        <w:pStyle w:val="Normal"/>
        <w:bidi w:val="0"/>
        <w:spacing w:lineRule="auto" w:line="240" w:before="57" w:after="113"/>
        <w:ind w:left="0" w:right="0" w:hanging="0"/>
        <w:contextualSpacing/>
        <w:jc w:val="both"/>
        <w:rPr>
          <w:sz w:val="24"/>
          <w:szCs w:val="24"/>
        </w:rPr>
      </w:pPr>
      <w:r>
        <w:rPr>
          <w:sz w:val="24"/>
          <w:szCs w:val="24"/>
        </w:rPr>
        <w:t>-  не загромождать и не загрязнять строительными материалами и (или) отходами эвакуационные пути, другие места общего пользования, своевременно очищать площадку от строительного мусора с вывозом на свалку;</w:t>
      </w:r>
    </w:p>
    <w:p>
      <w:pPr>
        <w:pStyle w:val="Normal"/>
        <w:bidi w:val="0"/>
        <w:spacing w:lineRule="auto" w:line="240" w:before="57" w:after="113"/>
        <w:ind w:left="0" w:right="0" w:hanging="0"/>
        <w:contextualSpacing/>
        <w:jc w:val="both"/>
        <w:rPr>
          <w:sz w:val="24"/>
          <w:szCs w:val="24"/>
        </w:rPr>
      </w:pPr>
      <w:r>
        <w:rPr>
          <w:sz w:val="24"/>
          <w:szCs w:val="24"/>
        </w:rPr>
        <w:t>-  категорически не допускать попадания строительного мусора и пыли в соседние помещения;</w:t>
      </w:r>
    </w:p>
    <w:p>
      <w:pPr>
        <w:pStyle w:val="ConsNormal"/>
        <w:bidi w:val="0"/>
        <w:spacing w:before="57" w:after="113"/>
        <w:ind w:left="0" w:right="0" w:hanging="0"/>
        <w:contextualSpacing/>
        <w:jc w:val="both"/>
        <w:rPr>
          <w:rFonts w:ascii="Times New Roman" w:hAnsi="Times New Roman" w:cs="Times New Roman"/>
          <w:b/>
          <w:b/>
          <w:bCs/>
          <w:sz w:val="24"/>
          <w:szCs w:val="24"/>
        </w:rPr>
      </w:pPr>
      <w:r>
        <w:rPr>
          <w:rFonts w:cs="Times New Roman" w:ascii="Times New Roman" w:hAnsi="Times New Roman"/>
          <w:b/>
          <w:bCs/>
          <w:sz w:val="24"/>
          <w:szCs w:val="24"/>
        </w:rPr>
        <w:t>10. Упаковка и маркировка товара, сопроводительная документация</w:t>
      </w:r>
    </w:p>
    <w:p>
      <w:pPr>
        <w:pStyle w:val="ConsNormal"/>
        <w:bidi w:val="0"/>
        <w:spacing w:before="57" w:after="113"/>
        <w:ind w:left="0" w:right="0" w:hanging="0"/>
        <w:contextualSpacing/>
        <w:jc w:val="both"/>
        <w:rPr>
          <w:rFonts w:ascii="Times New Roman" w:hAnsi="Times New Roman" w:cs="Times New Roman"/>
          <w:sz w:val="24"/>
          <w:szCs w:val="24"/>
        </w:rPr>
      </w:pPr>
      <w:r>
        <w:rPr>
          <w:rFonts w:cs="Times New Roman" w:ascii="Times New Roman" w:hAnsi="Times New Roman"/>
          <w:sz w:val="24"/>
          <w:szCs w:val="24"/>
        </w:rPr>
        <w:t>10.1. Упаковка и маркировка товара должны соответствовать требованиям, предъявляемым Техническим регламентом Таможенного союза «О безопасности упаковки» (ТР ТС 005/2011).</w:t>
      </w:r>
    </w:p>
    <w:p>
      <w:pPr>
        <w:pStyle w:val="ConsNormal"/>
        <w:bidi w:val="0"/>
        <w:spacing w:before="57" w:after="113"/>
        <w:ind w:left="0" w:right="0" w:hanging="0"/>
        <w:contextualSpacing/>
        <w:jc w:val="both"/>
        <w:rPr>
          <w:rFonts w:ascii="Times New Roman" w:hAnsi="Times New Roman" w:cs="Times New Roman"/>
          <w:sz w:val="24"/>
          <w:szCs w:val="24"/>
        </w:rPr>
      </w:pPr>
      <w:r>
        <w:rPr>
          <w:rFonts w:cs="Times New Roman" w:ascii="Times New Roman" w:hAnsi="Times New Roman"/>
          <w:sz w:val="24"/>
          <w:szCs w:val="24"/>
        </w:rPr>
        <w:t>10.2. Упаковка оборудования должна обеспечить его сохранность при транспортировке и хранении.</w:t>
      </w:r>
    </w:p>
    <w:p>
      <w:pPr>
        <w:pStyle w:val="ConsNormal"/>
        <w:bidi w:val="0"/>
        <w:spacing w:before="57" w:after="113"/>
        <w:ind w:left="0" w:right="0" w:hanging="0"/>
        <w:contextualSpacing/>
        <w:jc w:val="both"/>
        <w:rPr>
          <w:rFonts w:ascii="Times New Roman" w:hAnsi="Times New Roman" w:cs="Times New Roman"/>
          <w:sz w:val="24"/>
          <w:szCs w:val="24"/>
        </w:rPr>
      </w:pPr>
      <w:r>
        <w:rPr>
          <w:rFonts w:cs="Times New Roman" w:ascii="Times New Roman" w:hAnsi="Times New Roman"/>
          <w:sz w:val="24"/>
          <w:szCs w:val="24"/>
        </w:rPr>
        <w:t>10.3. Маркировка товара должна содержать: наименование изделия, наименование фирмы-изготовителя, юридический адрес изготовителя, дату выпуска, сведения о классе энергоэффективности.</w:t>
      </w:r>
    </w:p>
    <w:p>
      <w:pPr>
        <w:pStyle w:val="ConsNormal"/>
        <w:bidi w:val="0"/>
        <w:spacing w:before="57" w:after="113"/>
        <w:ind w:left="0" w:right="0" w:hanging="0"/>
        <w:contextualSpacing/>
        <w:jc w:val="both"/>
        <w:rPr>
          <w:rFonts w:ascii="Times New Roman" w:hAnsi="Times New Roman" w:cs="Times New Roman"/>
          <w:sz w:val="24"/>
          <w:szCs w:val="24"/>
        </w:rPr>
      </w:pPr>
      <w:r>
        <w:rPr>
          <w:rFonts w:cs="Times New Roman" w:ascii="Times New Roman" w:hAnsi="Times New Roman"/>
          <w:sz w:val="24"/>
          <w:szCs w:val="24"/>
        </w:rPr>
        <w:t>10.4. Передаче с каждой единицей товара подлежат:</w:t>
      </w:r>
    </w:p>
    <w:p>
      <w:pPr>
        <w:pStyle w:val="ConsNormal"/>
        <w:bidi w:val="0"/>
        <w:spacing w:before="57" w:after="113"/>
        <w:ind w:left="0" w:right="0" w:hanging="0"/>
        <w:contextualSpacing/>
        <w:jc w:val="both"/>
        <w:rPr>
          <w:rFonts w:ascii="Times New Roman" w:hAnsi="Times New Roman" w:cs="Times New Roman"/>
          <w:sz w:val="24"/>
          <w:szCs w:val="24"/>
        </w:rPr>
      </w:pPr>
      <w:r>
        <w:rPr>
          <w:rFonts w:cs="Times New Roman" w:ascii="Times New Roman" w:hAnsi="Times New Roman"/>
          <w:sz w:val="24"/>
          <w:szCs w:val="24"/>
        </w:rPr>
        <w:t>-  копии сертификатов соответствия;</w:t>
      </w:r>
    </w:p>
    <w:p>
      <w:pPr>
        <w:pStyle w:val="ConsNormal"/>
        <w:bidi w:val="0"/>
        <w:spacing w:before="57" w:after="113"/>
        <w:ind w:left="0" w:right="0" w:hanging="0"/>
        <w:contextualSpacing/>
        <w:jc w:val="both"/>
        <w:rPr>
          <w:rFonts w:ascii="Times New Roman" w:hAnsi="Times New Roman" w:cs="Times New Roman"/>
          <w:sz w:val="24"/>
          <w:szCs w:val="24"/>
        </w:rPr>
      </w:pPr>
      <w:r>
        <w:rPr>
          <w:rFonts w:cs="Times New Roman" w:ascii="Times New Roman" w:hAnsi="Times New Roman"/>
          <w:sz w:val="24"/>
          <w:szCs w:val="24"/>
        </w:rPr>
        <w:t>-  технический паспорт на русском языке;</w:t>
      </w:r>
    </w:p>
    <w:p>
      <w:pPr>
        <w:pStyle w:val="ConsNormal"/>
        <w:bidi w:val="0"/>
        <w:spacing w:before="57" w:after="113"/>
        <w:ind w:left="0" w:right="0" w:hanging="0"/>
        <w:contextualSpacing/>
        <w:jc w:val="both"/>
        <w:rPr>
          <w:rFonts w:ascii="Times New Roman" w:hAnsi="Times New Roman" w:cs="Times New Roman"/>
          <w:sz w:val="24"/>
          <w:szCs w:val="24"/>
        </w:rPr>
      </w:pPr>
      <w:r>
        <w:rPr>
          <w:rFonts w:cs="Times New Roman" w:ascii="Times New Roman" w:hAnsi="Times New Roman"/>
          <w:sz w:val="24"/>
          <w:szCs w:val="24"/>
        </w:rPr>
        <w:t>-  руководство пользователя на русском языке;</w:t>
      </w:r>
    </w:p>
    <w:p>
      <w:pPr>
        <w:pStyle w:val="ConsNormal"/>
        <w:bidi w:val="0"/>
        <w:spacing w:before="57" w:after="113"/>
        <w:ind w:left="0" w:right="0" w:hanging="0"/>
        <w:contextualSpacing/>
        <w:jc w:val="both"/>
        <w:rPr>
          <w:rFonts w:ascii="Times New Roman" w:hAnsi="Times New Roman" w:cs="Times New Roman"/>
          <w:sz w:val="24"/>
          <w:szCs w:val="24"/>
        </w:rPr>
      </w:pPr>
      <w:r>
        <w:rPr>
          <w:rFonts w:cs="Times New Roman" w:ascii="Times New Roman" w:hAnsi="Times New Roman"/>
          <w:sz w:val="24"/>
          <w:szCs w:val="24"/>
        </w:rPr>
        <w:t>-  гарантийный талон с указанием заводского (серийного) номера и гарантийного периода.</w:t>
      </w:r>
    </w:p>
    <w:p>
      <w:pPr>
        <w:pStyle w:val="ConsNormal"/>
        <w:bidi w:val="0"/>
        <w:spacing w:before="57" w:after="113"/>
        <w:ind w:left="0" w:right="0" w:hanging="0"/>
        <w:contextualSpacing/>
        <w:jc w:val="both"/>
        <w:rPr>
          <w:rFonts w:ascii="Times New Roman" w:hAnsi="Times New Roman" w:cs="Times New Roman"/>
          <w:sz w:val="24"/>
          <w:szCs w:val="24"/>
        </w:rPr>
      </w:pPr>
      <w:r>
        <w:rPr>
          <w:rFonts w:cs="Times New Roman" w:ascii="Times New Roman" w:hAnsi="Times New Roman"/>
          <w:sz w:val="24"/>
          <w:szCs w:val="24"/>
        </w:rPr>
        <w:t>10.5. До подписания акта выполненных работ заказчику передается схема сетей и установленного оборудования.</w:t>
      </w:r>
    </w:p>
    <w:p>
      <w:pPr>
        <w:pStyle w:val="ConsNormal"/>
        <w:bidi w:val="0"/>
        <w:spacing w:before="57" w:after="113"/>
        <w:ind w:left="0" w:right="0" w:hanging="0"/>
        <w:contextualSpacing/>
        <w:jc w:val="both"/>
        <w:rPr>
          <w:rFonts w:ascii="Times New Roman" w:hAnsi="Times New Roman" w:cs="Times New Roman"/>
          <w:sz w:val="24"/>
          <w:szCs w:val="24"/>
        </w:rPr>
      </w:pPr>
      <w:r>
        <w:rPr>
          <w:rFonts w:cs="Times New Roman" w:ascii="Times New Roman" w:hAnsi="Times New Roman"/>
          <w:sz w:val="24"/>
          <w:szCs w:val="24"/>
        </w:rPr>
      </w:r>
    </w:p>
    <w:p>
      <w:pPr>
        <w:pStyle w:val="ConsNormal"/>
        <w:bidi w:val="0"/>
        <w:spacing w:before="57" w:after="113"/>
        <w:ind w:left="0" w:right="0" w:hanging="0"/>
        <w:contextualSpacing/>
        <w:jc w:val="both"/>
        <w:rPr>
          <w:rFonts w:ascii="Times New Roman" w:hAnsi="Times New Roman" w:cs="Times New Roman"/>
          <w:b/>
          <w:b/>
          <w:bCs/>
          <w:sz w:val="24"/>
          <w:szCs w:val="24"/>
        </w:rPr>
      </w:pPr>
      <w:r>
        <w:rPr>
          <w:rFonts w:cs="Times New Roman" w:ascii="Times New Roman" w:hAnsi="Times New Roman"/>
          <w:b/>
          <w:bCs/>
          <w:sz w:val="24"/>
          <w:szCs w:val="24"/>
        </w:rPr>
        <w:t>11. Срок и объем гарантии</w:t>
      </w:r>
    </w:p>
    <w:p>
      <w:pPr>
        <w:pStyle w:val="ConsNormal"/>
        <w:bidi w:val="0"/>
        <w:spacing w:before="57" w:after="113"/>
        <w:ind w:left="0" w:right="0" w:hanging="0"/>
        <w:contextualSpacing/>
        <w:jc w:val="both"/>
        <w:rPr>
          <w:rFonts w:ascii="Times New Roman" w:hAnsi="Times New Roman" w:cs="Times New Roman"/>
          <w:sz w:val="24"/>
          <w:szCs w:val="24"/>
        </w:rPr>
      </w:pPr>
      <w:r>
        <w:rPr>
          <w:rFonts w:cs="Times New Roman" w:ascii="Times New Roman" w:hAnsi="Times New Roman"/>
          <w:sz w:val="24"/>
          <w:szCs w:val="24"/>
        </w:rPr>
        <w:t>11.1. Срок гарантии если прямо не указано в данном техническом задании иного, то:</w:t>
      </w:r>
    </w:p>
    <w:p>
      <w:pPr>
        <w:pStyle w:val="ConsNormal"/>
        <w:bidi w:val="0"/>
        <w:spacing w:before="57" w:after="113"/>
        <w:ind w:left="0" w:right="0" w:hanging="0"/>
        <w:contextualSpacing/>
        <w:jc w:val="both"/>
        <w:rPr>
          <w:rFonts w:ascii="Times New Roman" w:hAnsi="Times New Roman" w:cs="Times New Roman"/>
          <w:sz w:val="24"/>
          <w:szCs w:val="24"/>
        </w:rPr>
      </w:pPr>
      <w:r>
        <w:rPr>
          <w:rFonts w:cs="Times New Roman" w:ascii="Times New Roman" w:hAnsi="Times New Roman"/>
          <w:sz w:val="24"/>
          <w:szCs w:val="24"/>
        </w:rPr>
        <w:t>- в соответствии с технической документацией завода-изготовителя, но не менее трех лет с момента передачи товара заказчику (подписания сторонами акта приема-передачи товара).</w:t>
      </w:r>
    </w:p>
    <w:p>
      <w:pPr>
        <w:pStyle w:val="ConsNormal"/>
        <w:bidi w:val="0"/>
        <w:spacing w:before="57" w:after="113"/>
        <w:ind w:left="0" w:right="0" w:hanging="0"/>
        <w:contextualSpacing/>
        <w:jc w:val="both"/>
        <w:rPr>
          <w:rFonts w:ascii="Times New Roman" w:hAnsi="Times New Roman" w:cs="Times New Roman"/>
          <w:sz w:val="24"/>
          <w:szCs w:val="24"/>
        </w:rPr>
      </w:pPr>
      <w:r>
        <w:rPr>
          <w:rFonts w:cs="Times New Roman" w:ascii="Times New Roman" w:hAnsi="Times New Roman"/>
          <w:sz w:val="24"/>
          <w:szCs w:val="24"/>
        </w:rPr>
        <w:t>11.2. Поставщик гарантирует качество и надежность поставляемого товара в течение всего гарантийного срока, установленного на товар, при условии соблюдения заказчиком условий хранения и эксплуатации товара.</w:t>
      </w:r>
    </w:p>
    <w:p>
      <w:pPr>
        <w:pStyle w:val="ConsNormal"/>
        <w:bidi w:val="0"/>
        <w:spacing w:before="57" w:after="113"/>
        <w:ind w:left="0" w:right="0" w:hanging="0"/>
        <w:contextualSpacing/>
        <w:jc w:val="both"/>
        <w:rPr>
          <w:rFonts w:ascii="Times New Roman" w:hAnsi="Times New Roman" w:cs="Times New Roman"/>
          <w:sz w:val="24"/>
          <w:szCs w:val="24"/>
        </w:rPr>
      </w:pPr>
      <w:r>
        <w:rPr>
          <w:rFonts w:cs="Times New Roman" w:ascii="Times New Roman" w:hAnsi="Times New Roman"/>
          <w:sz w:val="24"/>
          <w:szCs w:val="24"/>
        </w:rPr>
        <w:t>11.3. В период гарантийного срока поставщик гарантирует осуществлять выезд специалиста при возникновении неисправности (обнаружении дефекта) в течение двух рабочих дней с момента его уведомления в случае невозможности устранения неисправности (обнаружения дефекта) по адресу заказчика. Поставщик берет на себя обязательства по его транспортировке до места проведения гарантийного ремонта и возврату товара в адрес заказчика. В случае неремонтопригодности товара поставщик осуществляет его замену на новый, при этом срок замены или ремонта не должен превышать десять рабочих дней с момента передачи товара поставщику.</w:t>
      </w:r>
    </w:p>
    <w:p>
      <w:pPr>
        <w:pStyle w:val="ConsNormal"/>
        <w:bidi w:val="0"/>
        <w:spacing w:before="57" w:after="113"/>
        <w:ind w:left="0" w:right="0" w:hanging="0"/>
        <w:contextualSpacing/>
        <w:jc w:val="both"/>
        <w:rPr>
          <w:rFonts w:ascii="Times New Roman" w:hAnsi="Times New Roman" w:cs="Times New Roman"/>
          <w:sz w:val="24"/>
          <w:szCs w:val="24"/>
        </w:rPr>
      </w:pPr>
      <w:r>
        <w:rPr>
          <w:rFonts w:cs="Times New Roman" w:ascii="Times New Roman" w:hAnsi="Times New Roman"/>
          <w:sz w:val="24"/>
          <w:szCs w:val="24"/>
        </w:rPr>
        <w:t>11.4. Гарантийное обслуживание оборудования должно осуществляться в сертифицированном сервисном центре. Все запасные части, которые поставщик устанавливает на оборудование в течение гарантийного периода, должны быть сертифицированы производителем оборудования.</w:t>
      </w:r>
    </w:p>
    <w:p>
      <w:pPr>
        <w:pStyle w:val="ConsNormal"/>
        <w:bidi w:val="0"/>
        <w:spacing w:before="57" w:after="113"/>
        <w:ind w:left="0" w:right="0" w:hanging="0"/>
        <w:contextualSpacing/>
        <w:jc w:val="both"/>
        <w:rPr>
          <w:rFonts w:ascii="Times New Roman" w:hAnsi="Times New Roman" w:cs="Times New Roman"/>
          <w:sz w:val="24"/>
          <w:szCs w:val="24"/>
        </w:rPr>
      </w:pPr>
      <w:r>
        <w:rPr>
          <w:rFonts w:cs="Times New Roman" w:ascii="Times New Roman" w:hAnsi="Times New Roman"/>
          <w:sz w:val="24"/>
          <w:szCs w:val="24"/>
        </w:rPr>
      </w:r>
    </w:p>
    <w:p>
      <w:pPr>
        <w:pStyle w:val="ConsNormal"/>
        <w:bidi w:val="0"/>
        <w:spacing w:before="57" w:after="113"/>
        <w:ind w:left="0" w:right="0" w:hanging="0"/>
        <w:contextualSpacing/>
        <w:jc w:val="both"/>
        <w:rPr>
          <w:rFonts w:ascii="Times New Roman" w:hAnsi="Times New Roman" w:cs="Times New Roman"/>
          <w:b/>
          <w:b/>
          <w:bCs/>
          <w:sz w:val="24"/>
          <w:szCs w:val="24"/>
        </w:rPr>
      </w:pPr>
      <w:r>
        <w:rPr>
          <w:rFonts w:cs="Times New Roman" w:ascii="Times New Roman" w:hAnsi="Times New Roman"/>
          <w:b/>
          <w:bCs/>
          <w:sz w:val="24"/>
          <w:szCs w:val="24"/>
        </w:rPr>
        <w:t>12. Расходы на эксплуатацию товара</w:t>
      </w:r>
    </w:p>
    <w:p>
      <w:pPr>
        <w:pStyle w:val="ConsNormal"/>
        <w:bidi w:val="0"/>
        <w:spacing w:before="57" w:after="113"/>
        <w:ind w:left="0" w:right="0" w:hanging="0"/>
        <w:contextualSpacing/>
        <w:jc w:val="both"/>
        <w:rPr>
          <w:rFonts w:ascii="Times New Roman" w:hAnsi="Times New Roman" w:cs="Times New Roman"/>
          <w:sz w:val="24"/>
          <w:szCs w:val="24"/>
        </w:rPr>
      </w:pPr>
      <w:r>
        <w:rPr>
          <w:rFonts w:cs="Times New Roman" w:ascii="Times New Roman" w:hAnsi="Times New Roman"/>
          <w:sz w:val="24"/>
          <w:szCs w:val="24"/>
        </w:rPr>
        <w:t>Заказчик не несет расходы на техническое обслуживание товара в период гарантийного срока.</w:t>
      </w:r>
    </w:p>
    <w:p>
      <w:pPr>
        <w:pStyle w:val="ConsNormal"/>
        <w:bidi w:val="0"/>
        <w:spacing w:before="57" w:after="113"/>
        <w:ind w:left="0" w:right="0" w:hanging="0"/>
        <w:contextualSpacing/>
        <w:jc w:val="both"/>
        <w:rPr>
          <w:rFonts w:ascii="Times New Roman" w:hAnsi="Times New Roman" w:cs="Times New Roman"/>
          <w:sz w:val="24"/>
          <w:szCs w:val="24"/>
        </w:rPr>
      </w:pPr>
      <w:r>
        <w:rPr>
          <w:rFonts w:cs="Times New Roman" w:ascii="Times New Roman" w:hAnsi="Times New Roman"/>
          <w:sz w:val="24"/>
          <w:szCs w:val="24"/>
        </w:rPr>
      </w:r>
    </w:p>
    <w:p>
      <w:pPr>
        <w:pStyle w:val="ConsNormal"/>
        <w:bidi w:val="0"/>
        <w:spacing w:before="57" w:after="113"/>
        <w:ind w:left="0" w:right="0" w:hanging="0"/>
        <w:contextualSpacing/>
        <w:jc w:val="both"/>
        <w:rPr/>
      </w:pPr>
      <w:r>
        <w:rPr>
          <w:rFonts w:cs="Times New Roman" w:ascii="Times New Roman" w:hAnsi="Times New Roman"/>
          <w:b/>
          <w:bCs/>
          <w:sz w:val="24"/>
          <w:szCs w:val="24"/>
        </w:rPr>
        <w:t>13. Место поставки услуги:</w:t>
      </w:r>
      <w:r>
        <w:rPr>
          <w:rFonts w:cs="Times New Roman" w:ascii="Times New Roman" w:hAnsi="Times New Roman"/>
          <w:color w:val="000000"/>
          <w:sz w:val="24"/>
          <w:szCs w:val="24"/>
        </w:rPr>
        <w:t xml:space="preserve"> Приморский край, г. Артем</w:t>
      </w:r>
    </w:p>
    <w:p>
      <w:pPr>
        <w:pStyle w:val="ConsNormal"/>
        <w:bidi w:val="0"/>
        <w:spacing w:before="57" w:after="113"/>
        <w:ind w:left="0" w:right="0" w:hanging="0"/>
        <w:contextualSpacing/>
        <w:jc w:val="both"/>
        <w:rPr/>
      </w:pPr>
      <w:r>
        <w:rPr/>
      </w:r>
    </w:p>
    <w:p>
      <w:pPr>
        <w:pStyle w:val="ConsNormal"/>
        <w:bidi w:val="0"/>
        <w:spacing w:lineRule="auto" w:line="240" w:before="57" w:after="113"/>
        <w:ind w:left="0" w:right="0" w:hanging="0"/>
        <w:contextualSpacing/>
        <w:jc w:val="both"/>
        <w:rPr/>
      </w:pPr>
      <w:r>
        <w:rPr>
          <w:rFonts w:cs="Times New Roman" w:ascii="Times New Roman" w:hAnsi="Times New Roman"/>
          <w:b/>
          <w:bCs/>
          <w:sz w:val="24"/>
          <w:szCs w:val="24"/>
        </w:rPr>
        <w:t>14. Срок оказания услуг:</w:t>
      </w:r>
      <w:r>
        <w:rPr>
          <w:rFonts w:cs="Times New Roman" w:ascii="Times New Roman" w:hAnsi="Times New Roman"/>
          <w:color w:val="000000"/>
          <w:sz w:val="24"/>
          <w:szCs w:val="24"/>
        </w:rPr>
        <w:t xml:space="preserve"> 31 декабря 2026 г.</w:t>
      </w:r>
    </w:p>
    <w:p>
      <w:pPr>
        <w:pStyle w:val="ConsNormal"/>
        <w:bidi w:val="0"/>
        <w:spacing w:lineRule="auto" w:line="240" w:before="57" w:after="113"/>
        <w:ind w:left="0" w:right="0" w:hanging="0"/>
        <w:contextualSpacing/>
        <w:jc w:val="both"/>
        <w:rPr>
          <w:rFonts w:ascii="Times New Roman" w:hAnsi="Times New Roman" w:cs="Times New Roman"/>
          <w:color w:val="000000"/>
          <w:sz w:val="24"/>
          <w:szCs w:val="24"/>
        </w:rPr>
      </w:pPr>
      <w:r>
        <w:rPr>
          <w:rFonts w:cs="Times New Roman" w:ascii="Times New Roman" w:hAnsi="Times New Roman"/>
          <w:color w:val="000000"/>
          <w:sz w:val="24"/>
          <w:szCs w:val="24"/>
        </w:rPr>
      </w:r>
    </w:p>
    <w:p>
      <w:pPr>
        <w:pStyle w:val="ConsNormal"/>
        <w:bidi w:val="0"/>
        <w:spacing w:before="57" w:after="113"/>
        <w:ind w:left="0" w:right="0" w:hanging="0"/>
        <w:contextualSpacing/>
        <w:jc w:val="both"/>
        <w:rPr>
          <w:rFonts w:ascii="Times New Roman" w:hAnsi="Times New Roman" w:cs="Times New Roman"/>
          <w:b/>
          <w:b/>
          <w:bCs/>
          <w:sz w:val="24"/>
          <w:szCs w:val="24"/>
        </w:rPr>
      </w:pPr>
      <w:r>
        <w:rPr>
          <w:rFonts w:cs="Times New Roman" w:ascii="Times New Roman" w:hAnsi="Times New Roman"/>
          <w:b/>
          <w:bCs/>
          <w:sz w:val="24"/>
          <w:szCs w:val="24"/>
        </w:rPr>
        <w:t>15. Условия поставки, монтажа и наладки товара</w:t>
      </w:r>
    </w:p>
    <w:p>
      <w:pPr>
        <w:pStyle w:val="ConsNormal"/>
        <w:bidi w:val="0"/>
        <w:spacing w:before="57" w:after="113"/>
        <w:ind w:left="0" w:right="0" w:hanging="0"/>
        <w:contextualSpacing/>
        <w:jc w:val="both"/>
        <w:rPr>
          <w:rFonts w:ascii="Times New Roman" w:hAnsi="Times New Roman" w:cs="Times New Roman"/>
          <w:sz w:val="24"/>
          <w:szCs w:val="24"/>
        </w:rPr>
      </w:pPr>
      <w:r>
        <w:rPr>
          <w:rFonts w:cs="Times New Roman" w:ascii="Times New Roman" w:hAnsi="Times New Roman"/>
          <w:sz w:val="24"/>
          <w:szCs w:val="24"/>
        </w:rPr>
        <w:t>15.1. Поставщик своими силами и за свой счет обеспечивает доставку оборудования до места его установки. Монтаж, в том числе подключение к имеющимся инженерным коммуникациям заказчика осуществляется силами и за счет поставщика.</w:t>
      </w:r>
    </w:p>
    <w:p>
      <w:pPr>
        <w:pStyle w:val="ConsNormal"/>
        <w:bidi w:val="0"/>
        <w:spacing w:before="57" w:after="113"/>
        <w:ind w:left="0" w:right="0" w:hanging="0"/>
        <w:contextualSpacing/>
        <w:jc w:val="both"/>
        <w:rPr>
          <w:rFonts w:ascii="Times New Roman" w:hAnsi="Times New Roman" w:cs="Times New Roman"/>
          <w:sz w:val="24"/>
          <w:szCs w:val="24"/>
        </w:rPr>
      </w:pPr>
      <w:r>
        <w:rPr>
          <w:rFonts w:cs="Times New Roman" w:ascii="Times New Roman" w:hAnsi="Times New Roman"/>
          <w:sz w:val="24"/>
          <w:szCs w:val="24"/>
        </w:rPr>
        <w:t>15.2. Во время монтажа оборудования должны соблюдаться мероприятия по охране труда и технике безопасности, противопожарной и электробезопасности. К работам должны быть допущены только лица имеющие необходимый уровень квалификации, прошедшие документально оформленный инструктаж в службе охраны труда заказчика.</w:t>
      </w:r>
    </w:p>
    <w:p>
      <w:pPr>
        <w:pStyle w:val="Normal"/>
        <w:ind w:left="0" w:right="-104" w:hanging="0"/>
        <w:jc w:val="both"/>
        <w:rPr/>
      </w:pPr>
      <w:r>
        <w:rPr>
          <w:b/>
          <w:bCs/>
          <w:color w:val="000000"/>
        </w:rPr>
        <w:t>16.</w:t>
      </w:r>
      <w:r>
        <w:rPr>
          <w:color w:val="000000"/>
        </w:rPr>
        <w:t xml:space="preserve"> Предложение должно быть оформлено по форме, приведенной в приложении № 1 к настоящему запросу, и быть действительным не менее одного месяца с момента его подачи</w:t>
      </w:r>
      <w:r>
        <w:rPr>
          <w:b w:val="false"/>
          <w:bCs w:val="false"/>
          <w:color w:val="000000"/>
        </w:rPr>
        <w:t xml:space="preserve">. </w:t>
      </w:r>
      <w:r>
        <w:rPr>
          <w:color w:val="000000"/>
        </w:rPr>
        <w:t>В случае, если Подрядчик указывает более короткий срок действия своего ценового предложения, оно отклоняется как не отвечающее основным требованиям Заказчика.</w:t>
      </w:r>
    </w:p>
    <w:p>
      <w:pPr>
        <w:pStyle w:val="Normal"/>
        <w:ind w:left="0" w:right="-104" w:hanging="0"/>
        <w:jc w:val="both"/>
        <w:rPr/>
      </w:pPr>
      <w:r>
        <w:rPr>
          <w:b/>
          <w:bCs/>
          <w:color w:val="000000"/>
        </w:rPr>
        <w:t>17.</w:t>
      </w:r>
      <w:r>
        <w:rPr>
          <w:color w:val="000000"/>
        </w:rPr>
        <w:t xml:space="preserve"> Предложение должно быть подписано лицом, имеющим право в соответствии с законодательством Российской Федерации действовать от лица Подрядчика без доверенности (далее - уполномоченного лица). Предложение также должно быть скреплено печатью Подрядчика.</w:t>
      </w:r>
    </w:p>
    <w:p>
      <w:pPr>
        <w:pStyle w:val="Normal"/>
        <w:ind w:left="0" w:right="0" w:hanging="0"/>
        <w:jc w:val="both"/>
        <w:rPr/>
      </w:pPr>
      <w:r>
        <w:rPr>
          <w:b/>
          <w:bCs/>
          <w:color w:val="000000"/>
        </w:rPr>
        <w:t>18.</w:t>
      </w:r>
      <w:r>
        <w:rPr>
          <w:color w:val="000000"/>
        </w:rPr>
        <w:t xml:space="preserve"> Предлагаемая цена на выполнение работ (оказание услуг) должна быть указана с учетом НДС (либо без НДС со ссылкой на условия работы без НДС), стоимости МТР «Подрядчика», и с учетом других расходов, связанных с данным видом работ (оказанием услуг) (командировочные и др.) в ценах 2026 г.</w:t>
      </w:r>
    </w:p>
    <w:p>
      <w:pPr>
        <w:pStyle w:val="Normal"/>
        <w:ind w:left="0" w:right="0" w:hanging="0"/>
        <w:jc w:val="both"/>
        <w:rPr/>
      </w:pPr>
      <w:r>
        <w:rPr>
          <w:b/>
          <w:bCs/>
          <w:color w:val="000000"/>
        </w:rPr>
        <w:t>19.</w:t>
      </w:r>
      <w:r>
        <w:rPr>
          <w:color w:val="000000"/>
        </w:rPr>
        <w:t xml:space="preserve"> Предложение должно быть подано на русском языке. Все цены должны быть выражены в российских рублях. </w:t>
      </w:r>
      <w:r>
        <w:rPr>
          <w:b w:val="false"/>
          <w:bCs w:val="false"/>
          <w:i w:val="false"/>
          <w:iCs w:val="false"/>
          <w:color w:val="000000"/>
          <w:u w:val="none"/>
        </w:rPr>
        <w:t>Не допускается подача предложений на отдельные позиции или часть объема по какой-либо из позиций, указанных в техническом задании.</w:t>
      </w:r>
    </w:p>
    <w:p>
      <w:pPr>
        <w:pStyle w:val="Normal"/>
        <w:ind w:left="0" w:right="0" w:hanging="0"/>
        <w:jc w:val="both"/>
        <w:rPr/>
      </w:pPr>
      <w:r>
        <w:rPr>
          <w:b/>
          <w:bCs/>
          <w:color w:val="000000"/>
        </w:rPr>
        <w:t>20.</w:t>
      </w:r>
      <w:r>
        <w:rPr>
          <w:color w:val="000000"/>
        </w:rPr>
        <w:t xml:space="preserve"> В случае Вашего согласия принять участие в проводимой нерегламентированной закупочной процедуре, с целью выполнить работы (оказать услуги), в соответствии с данным запросом, просим представить: </w:t>
      </w:r>
    </w:p>
    <w:p>
      <w:pPr>
        <w:pStyle w:val="Normal"/>
        <w:ind w:left="0" w:right="0" w:firstLine="709"/>
        <w:jc w:val="both"/>
        <w:rPr>
          <w:b w:val="false"/>
          <w:b w:val="false"/>
          <w:bCs w:val="false"/>
          <w:color w:val="000000"/>
        </w:rPr>
      </w:pPr>
      <w:r>
        <w:rPr>
          <w:b w:val="false"/>
          <w:bCs w:val="false"/>
          <w:color w:val="000000"/>
        </w:rPr>
        <w:t>- Ценовое предложение (Приложение № 1);</w:t>
      </w:r>
    </w:p>
    <w:p>
      <w:pPr>
        <w:pStyle w:val="Normal"/>
        <w:ind w:left="0" w:right="0" w:firstLine="709"/>
        <w:jc w:val="both"/>
        <w:rPr>
          <w:b w:val="false"/>
          <w:b w:val="false"/>
          <w:bCs w:val="false"/>
          <w:color w:val="000000"/>
        </w:rPr>
      </w:pPr>
      <w:r>
        <w:rPr>
          <w:b w:val="false"/>
          <w:bCs w:val="false"/>
          <w:color w:val="000000"/>
        </w:rPr>
        <w:t>- Анкету участника (Приложение № 2);</w:t>
      </w:r>
    </w:p>
    <w:p>
      <w:pPr>
        <w:pStyle w:val="Normal"/>
        <w:ind w:left="0" w:right="0" w:hanging="0"/>
        <w:jc w:val="both"/>
        <w:rPr/>
      </w:pPr>
      <w:r>
        <w:rPr>
          <w:b/>
          <w:bCs/>
          <w:color w:val="000000"/>
        </w:rPr>
        <w:t>21.</w:t>
      </w:r>
      <w:r>
        <w:rPr>
          <w:color w:val="000000"/>
        </w:rPr>
        <w:t xml:space="preserve"> Заказчик, на основании поданных предложений Подрядчика, определит Победителя. Единственным критерием для определения Победителя является наименьшая цена предложения при условии соответствия самого предложения и предлагаемой к выполнению работ (оказанию услуг) условиям настоящего запроса.</w:t>
      </w:r>
    </w:p>
    <w:p>
      <w:pPr>
        <w:pStyle w:val="Normal"/>
        <w:ind w:left="0" w:right="0" w:hanging="0"/>
        <w:jc w:val="both"/>
        <w:rPr/>
      </w:pPr>
      <w:r>
        <w:rPr>
          <w:b/>
          <w:bCs/>
          <w:color w:val="000000"/>
        </w:rPr>
        <w:t>22.</w:t>
      </w:r>
      <w:r>
        <w:rPr>
          <w:color w:val="000000"/>
        </w:rPr>
        <w:t xml:space="preserve"> Настоящий запрос не является офертой или публичной офертой Заказчика. Данная процедура запроса не является процедурой проведения конкурса. Заказчик имеет право отказаться от всех полученных предложений по любой причине или прекратить процедуру запроса в любой момент, не неся при этом никакой ответственности перед Подрядчиком.</w:t>
      </w:r>
      <w:r>
        <w:rPr>
          <w:bCs/>
          <w:iCs/>
          <w:color w:val="000000"/>
        </w:rPr>
        <w:t xml:space="preserve"> </w:t>
      </w:r>
    </w:p>
    <w:p>
      <w:pPr>
        <w:pStyle w:val="Normal"/>
        <w:ind w:left="0" w:right="0" w:hanging="0"/>
        <w:jc w:val="both"/>
        <w:rPr/>
      </w:pPr>
      <w:r>
        <w:rPr>
          <w:b/>
          <w:bCs/>
          <w:color w:val="000000"/>
        </w:rPr>
        <w:t xml:space="preserve">23. </w:t>
      </w:r>
      <w:r>
        <w:rPr>
          <w:b w:val="false"/>
          <w:bCs w:val="false"/>
          <w:color w:val="000000"/>
        </w:rPr>
        <w:t>В составе своего предложения поставщик прикладывает анкету участника, подписанную и скрепленную печатью, а также выписку из ЕГРЮЛ/ЕГРИП сроком действия не более 1 мес. с момента подачи заявки участником.</w:t>
      </w:r>
      <w:r>
        <w:rPr>
          <w:b w:val="false"/>
          <w:bCs w:val="false"/>
          <w:iCs/>
          <w:color w:val="000000"/>
        </w:rPr>
        <w:t xml:space="preserve">  </w:t>
      </w:r>
      <w:r>
        <w:rPr>
          <w:b/>
          <w:bCs/>
          <w:iCs/>
          <w:color w:val="000000"/>
        </w:rPr>
        <w:t xml:space="preserve">   </w:t>
      </w:r>
    </w:p>
    <w:p>
      <w:pPr>
        <w:pStyle w:val="Normal"/>
        <w:jc w:val="both"/>
        <w:rPr>
          <w:bCs/>
          <w:iCs/>
          <w:color w:val="000000"/>
        </w:rPr>
      </w:pPr>
      <w:r>
        <w:rPr>
          <w:bCs/>
          <w:iCs/>
          <w:color w:val="000000"/>
        </w:rPr>
      </w:r>
    </w:p>
    <w:p>
      <w:pPr>
        <w:pStyle w:val="Normal"/>
        <w:rPr>
          <w:b/>
          <w:b/>
          <w:bCs/>
          <w:i/>
          <w:i/>
          <w:iCs/>
          <w:color w:val="000000"/>
        </w:rPr>
      </w:pPr>
      <w:r>
        <w:rPr>
          <w:b/>
          <w:bCs/>
          <w:i/>
          <w:iCs/>
          <w:color w:val="000000"/>
        </w:rPr>
        <w:t>Приложение:</w:t>
      </w:r>
    </w:p>
    <w:p>
      <w:pPr>
        <w:pStyle w:val="Normal"/>
        <w:numPr>
          <w:ilvl w:val="0"/>
          <w:numId w:val="3"/>
        </w:numPr>
        <w:rPr>
          <w:bCs/>
          <w:iCs/>
          <w:color w:val="000000"/>
        </w:rPr>
      </w:pPr>
      <w:r>
        <w:rPr>
          <w:bCs/>
          <w:iCs/>
          <w:color w:val="000000"/>
        </w:rPr>
        <w:t>Форма ценового предложения;</w:t>
      </w:r>
    </w:p>
    <w:p>
      <w:pPr>
        <w:pStyle w:val="Normal"/>
        <w:numPr>
          <w:ilvl w:val="0"/>
          <w:numId w:val="3"/>
        </w:numPr>
        <w:rPr>
          <w:bCs/>
          <w:iCs/>
          <w:color w:val="000000"/>
        </w:rPr>
      </w:pPr>
      <w:r>
        <w:rPr>
          <w:bCs/>
          <w:iCs/>
          <w:color w:val="000000"/>
        </w:rPr>
        <w:t>Анкета участника;</w:t>
      </w:r>
    </w:p>
    <w:p>
      <w:pPr>
        <w:pStyle w:val="Normal"/>
        <w:jc w:val="right"/>
        <w:rPr/>
      </w:pPr>
      <w:r>
        <w:rPr/>
      </w:r>
      <w:r>
        <w:br w:type="page"/>
      </w:r>
    </w:p>
    <w:p>
      <w:pPr>
        <w:pStyle w:val="Normal"/>
        <w:jc w:val="right"/>
        <w:rPr/>
      </w:pPr>
      <w:r>
        <w:rPr/>
        <w:t>Приложение № 1</w:t>
      </w:r>
    </w:p>
    <w:p>
      <w:pPr>
        <w:pStyle w:val="Normal"/>
        <w:jc w:val="right"/>
        <w:rPr/>
      </w:pPr>
      <w:r>
        <w:rPr/>
        <w:t xml:space="preserve">к запросу цен </w:t>
      </w:r>
    </w:p>
    <w:p>
      <w:pPr>
        <w:pStyle w:val="Normal"/>
        <w:jc w:val="center"/>
        <w:rPr>
          <w:sz w:val="28"/>
          <w:szCs w:val="28"/>
        </w:rPr>
      </w:pPr>
      <w:r>
        <w:rPr>
          <w:sz w:val="28"/>
          <w:szCs w:val="28"/>
        </w:rPr>
      </w:r>
    </w:p>
    <w:p>
      <w:pPr>
        <w:pStyle w:val="Style28"/>
        <w:jc w:val="center"/>
        <w:rPr>
          <w:b/>
          <w:b/>
          <w:i/>
          <w:i/>
          <w:sz w:val="28"/>
          <w:szCs w:val="28"/>
        </w:rPr>
      </w:pPr>
      <w:r>
        <w:rPr>
          <w:b/>
          <w:i/>
          <w:sz w:val="28"/>
          <w:szCs w:val="28"/>
        </w:rPr>
        <w:t>(Форма ценового предложения Подрядчика (Исполнителя) заполняется на бланке организации)</w:t>
      </w:r>
    </w:p>
    <w:p>
      <w:pPr>
        <w:pStyle w:val="Normal"/>
        <w:jc w:val="right"/>
        <w:rPr>
          <w:b/>
          <w:b/>
          <w:i/>
          <w:i/>
        </w:rPr>
      </w:pPr>
      <w:r>
        <w:rPr>
          <w:b/>
          <w:i/>
        </w:rPr>
      </w:r>
    </w:p>
    <w:p>
      <w:pPr>
        <w:pStyle w:val="Normal"/>
        <w:jc w:val="right"/>
        <w:rPr>
          <w:b/>
          <w:b/>
          <w:i/>
          <w:i/>
        </w:rPr>
      </w:pPr>
      <w:r>
        <w:rPr>
          <w:b/>
          <w:i/>
        </w:rPr>
        <w:t>Начальник службы безопасности</w:t>
      </w:r>
    </w:p>
    <w:p>
      <w:pPr>
        <w:pStyle w:val="Normal"/>
        <w:jc w:val="right"/>
        <w:rPr/>
      </w:pPr>
      <w:r>
        <w:rPr>
          <w:b/>
          <w:i/>
        </w:rPr>
        <w:t xml:space="preserve"> </w:t>
      </w:r>
      <w:r>
        <w:rPr>
          <w:b/>
          <w:i/>
        </w:rPr>
        <w:t>М.В. Середа</w:t>
      </w:r>
    </w:p>
    <w:p>
      <w:pPr>
        <w:pStyle w:val="Normal"/>
        <w:rPr>
          <w:b/>
          <w:b/>
          <w:i/>
          <w:i/>
        </w:rPr>
      </w:pPr>
      <w:r>
        <w:rPr>
          <w:b/>
          <w:i/>
        </w:rPr>
      </w:r>
    </w:p>
    <w:p>
      <w:pPr>
        <w:pStyle w:val="Normal"/>
        <w:rPr>
          <w:b/>
          <w:b/>
          <w:i/>
          <w:i/>
        </w:rPr>
      </w:pPr>
      <w:r>
        <w:rPr>
          <w:b/>
          <w:i/>
        </w:rPr>
      </w:r>
    </w:p>
    <w:p>
      <w:pPr>
        <w:pStyle w:val="Normal"/>
        <w:rPr/>
      </w:pPr>
      <w:r>
        <w:rPr>
          <w:b/>
          <w:i/>
        </w:rPr>
        <w:t>исх. №   ______ от   «_____»___________2026 г.</w:t>
      </w:r>
      <w:r>
        <w:rPr>
          <w:i/>
        </w:rPr>
        <w:t xml:space="preserve"> </w:t>
      </w:r>
    </w:p>
    <w:p>
      <w:pPr>
        <w:pStyle w:val="Normal"/>
        <w:jc w:val="both"/>
        <w:rPr>
          <w:b/>
          <w:b/>
          <w:bCs/>
          <w:i/>
          <w:i/>
          <w:iCs/>
        </w:rPr>
      </w:pPr>
      <w:r>
        <w:rPr>
          <w:b/>
          <w:bCs/>
          <w:i/>
          <w:iCs/>
        </w:rPr>
      </w:r>
    </w:p>
    <w:p>
      <w:pPr>
        <w:pStyle w:val="Normal"/>
        <w:jc w:val="both"/>
        <w:rPr/>
      </w:pPr>
      <w:r>
        <w:rPr>
          <w:b/>
          <w:i/>
        </w:rPr>
        <w:t>к запросу от ___________2026 г. №</w:t>
      </w:r>
      <w:r>
        <w:rPr>
          <w:b/>
          <w:i/>
          <w:iCs/>
        </w:rPr>
        <w:t xml:space="preserve"> _____________</w:t>
      </w:r>
    </w:p>
    <w:p>
      <w:pPr>
        <w:pStyle w:val="Normal"/>
        <w:jc w:val="both"/>
        <w:rPr>
          <w:b/>
          <w:b/>
          <w:i/>
          <w:i/>
          <w:iCs/>
        </w:rPr>
      </w:pPr>
      <w:r>
        <w:rPr>
          <w:b/>
          <w:i/>
          <w:iCs/>
        </w:rPr>
      </w:r>
    </w:p>
    <w:p>
      <w:pPr>
        <w:pStyle w:val="1"/>
        <w:numPr>
          <w:ilvl w:val="0"/>
          <w:numId w:val="2"/>
        </w:numPr>
        <w:jc w:val="center"/>
        <w:rPr>
          <w:b/>
          <w:b/>
          <w:i/>
          <w:i/>
          <w:iCs/>
        </w:rPr>
      </w:pPr>
      <w:r>
        <w:rPr>
          <w:b/>
          <w:i/>
          <w:iCs/>
        </w:rPr>
      </w:r>
    </w:p>
    <w:p>
      <w:pPr>
        <w:pStyle w:val="1"/>
        <w:numPr>
          <w:ilvl w:val="0"/>
          <w:numId w:val="2"/>
        </w:numPr>
        <w:jc w:val="center"/>
        <w:rPr/>
      </w:pPr>
      <w:r>
        <w:rPr/>
        <w:t>ЦЕНОВОЕ ПРЕДЛОЖЕНИЕ</w:t>
      </w:r>
    </w:p>
    <w:p>
      <w:pPr>
        <w:pStyle w:val="Normal"/>
        <w:rPr/>
      </w:pPr>
      <w:r>
        <w:rPr/>
        <w:t>В соответствии с Вашим запросом, мы предлагаем осуществить выполнение следующих работ (оказание услуг): _______________________________________________________________________</w:t>
      </w:r>
    </w:p>
    <w:p>
      <w:pPr>
        <w:pStyle w:val="Normal"/>
        <w:rPr/>
      </w:pPr>
      <w:r>
        <w:rPr/>
        <w:t>______________________________________________________________________________________________________________________________________________</w:t>
      </w:r>
    </w:p>
    <w:p>
      <w:pPr>
        <w:pStyle w:val="Normal"/>
        <w:shd w:val="clear" w:fill="FFFFFF"/>
        <w:tabs>
          <w:tab w:val="left" w:pos="8981" w:leader="underscore"/>
        </w:tabs>
        <w:ind w:left="11" w:right="0" w:firstLine="556"/>
        <w:jc w:val="both"/>
        <w:rPr/>
      </w:pPr>
      <w:r>
        <w:rPr/>
        <w:t xml:space="preserve">на сумму </w:t>
      </w:r>
      <w:r>
        <w:rPr>
          <w:color w:val="000000"/>
          <w:spacing w:val="-1"/>
        </w:rPr>
        <w:t>____________</w:t>
      </w:r>
      <w:r>
        <w:rPr>
          <w:b/>
          <w:i/>
          <w:color w:val="000000"/>
        </w:rPr>
        <w:t xml:space="preserve"> </w:t>
      </w:r>
      <w:r>
        <w:rPr>
          <w:b/>
          <w:i/>
          <w:color w:val="000000"/>
          <w:spacing w:val="-1"/>
        </w:rPr>
        <w:t xml:space="preserve">тыс. </w:t>
      </w:r>
      <w:r>
        <w:rPr>
          <w:b/>
          <w:i/>
          <w:color w:val="000000"/>
          <w:spacing w:val="-5"/>
        </w:rPr>
        <w:t>рублей</w:t>
      </w:r>
      <w:r>
        <w:rPr>
          <w:b/>
          <w:i/>
          <w:color w:val="000000"/>
          <w:spacing w:val="-1"/>
        </w:rPr>
        <w:t xml:space="preserve"> (__________сумма прописью_______________</w:t>
      </w:r>
      <w:r>
        <w:rPr>
          <w:b/>
          <w:i/>
          <w:color w:val="000000"/>
          <w:spacing w:val="-5"/>
        </w:rPr>
        <w:t>),</w:t>
      </w:r>
      <w:r>
        <w:rPr>
          <w:b/>
          <w:i/>
        </w:rPr>
        <w:t xml:space="preserve"> </w:t>
      </w:r>
      <w:r>
        <w:rPr>
          <w:b/>
          <w:i/>
          <w:color w:val="000000"/>
        </w:rPr>
        <w:t xml:space="preserve">кроме того НДС  ______ (если НДС не предусмотрен необходимо указать следующее «НДС не предусмотрен применяется упрошенная система налогообложения»)                          </w:t>
      </w:r>
    </w:p>
    <w:p>
      <w:pPr>
        <w:pStyle w:val="Normal"/>
        <w:rPr>
          <w:b/>
          <w:b/>
          <w:i/>
          <w:i/>
        </w:rPr>
      </w:pPr>
      <w:r>
        <w:rPr>
          <w:b/>
          <w:i/>
        </w:rPr>
      </w:r>
    </w:p>
    <w:p>
      <w:pPr>
        <w:pStyle w:val="Normal"/>
        <w:rPr>
          <w:b/>
          <w:b/>
          <w:i/>
          <w:i/>
        </w:rPr>
      </w:pPr>
      <w:r>
        <w:rPr>
          <w:b/>
          <w:i/>
        </w:rPr>
        <w:t>Итого общая стоимость работ (оказание услуг) составляет___________</w:t>
      </w:r>
    </w:p>
    <w:p>
      <w:pPr>
        <w:pStyle w:val="Normal"/>
        <w:rPr>
          <w:b/>
          <w:b/>
          <w:i/>
          <w:i/>
        </w:rPr>
      </w:pPr>
      <w:r>
        <w:rPr>
          <w:b/>
          <w:i/>
        </w:rPr>
      </w:r>
    </w:p>
    <w:p>
      <w:pPr>
        <w:pStyle w:val="Normal"/>
        <w:rPr/>
      </w:pPr>
      <w:r>
        <w:rPr/>
        <w:t>Срок выполнения работ (оказание услуг) ________________________________________________________</w:t>
      </w:r>
    </w:p>
    <w:p>
      <w:pPr>
        <w:pStyle w:val="Normal"/>
        <w:rPr/>
      </w:pPr>
      <w:r>
        <w:rPr/>
        <w:t>Место выполнения работ (оказание услуг) _______________________________________________________</w:t>
      </w:r>
    </w:p>
    <w:p>
      <w:pPr>
        <w:pStyle w:val="Normal"/>
        <w:rPr/>
      </w:pPr>
      <w:r>
        <w:rPr/>
        <w:t>Условия оплаты ______________________________________________________________</w:t>
      </w:r>
    </w:p>
    <w:p>
      <w:pPr>
        <w:pStyle w:val="Normal"/>
        <w:rPr>
          <w:b/>
          <w:b/>
          <w:bCs/>
        </w:rPr>
      </w:pPr>
      <w:r>
        <w:rPr>
          <w:b/>
          <w:bCs/>
        </w:rPr>
        <w:t>______________________________________________________________________________________________________________________________________________</w:t>
      </w:r>
    </w:p>
    <w:p>
      <w:pPr>
        <w:pStyle w:val="Normal"/>
        <w:rPr/>
      </w:pPr>
      <w:r>
        <w:rPr>
          <w:b/>
          <w:bCs/>
        </w:rPr>
        <w:t xml:space="preserve">         </w:t>
      </w:r>
      <w:r>
        <w:rPr/>
        <w:t>Мы обязуемся в случае принятия данного ценового предложения выполнить    работы (оказание услуг) по ____________________________________________________________________</w:t>
      </w:r>
    </w:p>
    <w:p>
      <w:pPr>
        <w:pStyle w:val="Normal"/>
        <w:jc w:val="both"/>
        <w:rPr/>
      </w:pPr>
      <w:r>
        <w:rPr/>
        <w:t xml:space="preserve">    </w:t>
      </w:r>
      <w:r>
        <w:rPr/>
        <w:t>Все условия настоящего ценового предложения остаются в силе и являются для нас обязательными до (указывается срок действия предложения) ______________.</w:t>
      </w:r>
    </w:p>
    <w:p>
      <w:pPr>
        <w:pStyle w:val="25"/>
        <w:spacing w:lineRule="auto" w:line="240"/>
        <w:jc w:val="both"/>
        <w:rPr/>
      </w:pPr>
      <w:r>
        <w:rPr>
          <w:b/>
          <w:bCs/>
          <w:i/>
          <w:iCs/>
        </w:rPr>
        <w:t xml:space="preserve">        </w:t>
      </w:r>
      <w:r>
        <w:rPr>
          <w:b/>
          <w:bCs/>
          <w:i/>
          <w:iCs/>
        </w:rPr>
        <w:t>Мы признаем, что направление Заказчиком в наш адрес запроса цен и представление нами ценового предложения не накладывает на заказчика и на нас никаких дополнительных обязательств, включая обязательство заказчика по принятию нашего ценового предложения</w:t>
      </w:r>
      <w:r>
        <w:rPr>
          <w:i/>
          <w:iCs/>
        </w:rPr>
        <w:t>.</w:t>
      </w:r>
      <w:r>
        <w:rPr/>
        <w:t xml:space="preserve">         </w:t>
      </w:r>
    </w:p>
    <w:p>
      <w:pPr>
        <w:pStyle w:val="Normal"/>
        <w:rPr/>
      </w:pPr>
      <w:r>
        <w:rPr/>
        <w:t xml:space="preserve">  </w:t>
      </w:r>
      <w:r>
        <w:rPr/>
        <w:t xml:space="preserve">Приложение:   </w:t>
      </w:r>
      <w:r>
        <w:rPr>
          <w:b/>
          <w:bCs/>
        </w:rPr>
        <w:t>1. Расчет стоимости работ (оказание услуг).</w:t>
      </w:r>
    </w:p>
    <w:p>
      <w:pPr>
        <w:pStyle w:val="Normal"/>
        <w:rPr>
          <w:b/>
          <w:b/>
          <w:bCs/>
        </w:rPr>
      </w:pPr>
      <w:r>
        <w:rPr>
          <w:b/>
          <w:bCs/>
        </w:rPr>
        <w:tab/>
        <w:tab/>
        <w:t xml:space="preserve">    2. Анкета участника.</w:t>
      </w:r>
    </w:p>
    <w:p>
      <w:pPr>
        <w:pStyle w:val="Normal"/>
        <w:ind w:left="0" w:right="0" w:firstLine="709"/>
        <w:jc w:val="both"/>
        <w:rPr>
          <w:b/>
          <w:b/>
          <w:bCs/>
        </w:rPr>
      </w:pPr>
      <w:r>
        <w:rPr>
          <w:b/>
          <w:bCs/>
        </w:rPr>
      </w:r>
    </w:p>
    <w:p>
      <w:pPr>
        <w:pStyle w:val="Normal"/>
        <w:tabs>
          <w:tab w:val="left" w:pos="0" w:leader="none"/>
          <w:tab w:val="left" w:pos="1260" w:leader="none"/>
        </w:tabs>
        <w:jc w:val="both"/>
        <w:rPr>
          <w:b/>
          <w:b/>
          <w:bCs/>
        </w:rPr>
      </w:pPr>
      <w:r>
        <w:rPr>
          <w:b/>
          <w:bCs/>
        </w:rPr>
        <w:tab/>
      </w:r>
    </w:p>
    <w:p>
      <w:pPr>
        <w:pStyle w:val="Normal"/>
        <w:rPr>
          <w:sz w:val="26"/>
          <w:szCs w:val="26"/>
        </w:rPr>
      </w:pPr>
      <w:r>
        <w:rPr>
          <w:sz w:val="26"/>
          <w:szCs w:val="26"/>
        </w:rPr>
        <w:t>_________________________                                     ________________________</w:t>
      </w:r>
    </w:p>
    <w:p>
      <w:pPr>
        <w:pStyle w:val="Normal"/>
        <w:rPr>
          <w:sz w:val="20"/>
          <w:szCs w:val="20"/>
        </w:rPr>
      </w:pPr>
      <w:r>
        <w:rPr>
          <w:sz w:val="20"/>
          <w:szCs w:val="20"/>
        </w:rPr>
        <w:t>(должность ответственного лица                                                                         (подпись, расшифровка подписи)</w:t>
      </w:r>
    </w:p>
    <w:p>
      <w:pPr>
        <w:pStyle w:val="Normal"/>
        <w:rPr/>
      </w:pPr>
      <w:r>
        <w:rPr>
          <w:sz w:val="20"/>
          <w:szCs w:val="20"/>
        </w:rPr>
        <w:t xml:space="preserve"> </w:t>
      </w:r>
      <w:r>
        <w:rPr>
          <w:sz w:val="20"/>
          <w:szCs w:val="20"/>
        </w:rPr>
        <w:t>Поставщика услуг)                                                                                                                     (печать)</w:t>
      </w:r>
    </w:p>
    <w:p>
      <w:pPr>
        <w:sectPr>
          <w:type w:val="nextPage"/>
          <w:pgSz w:w="11906" w:h="16838"/>
          <w:pgMar w:left="1418" w:right="851" w:header="0" w:top="851" w:footer="0" w:bottom="993" w:gutter="0"/>
          <w:pgNumType w:fmt="decimal"/>
          <w:formProt w:val="false"/>
          <w:textDirection w:val="lrTb"/>
          <w:docGrid w:type="default" w:linePitch="360" w:charSpace="4294961151"/>
        </w:sectPr>
        <w:pStyle w:val="Normal"/>
        <w:jc w:val="both"/>
        <w:rPr>
          <w:sz w:val="26"/>
          <w:szCs w:val="26"/>
        </w:rPr>
      </w:pPr>
      <w:r>
        <w:rPr>
          <w:sz w:val="26"/>
          <w:szCs w:val="26"/>
        </w:rPr>
      </w:r>
    </w:p>
    <w:p>
      <w:pPr>
        <w:pStyle w:val="Normal"/>
        <w:jc w:val="right"/>
        <w:rPr/>
      </w:pPr>
      <w:r>
        <w:rPr/>
        <w:t xml:space="preserve">  </w:t>
      </w:r>
      <w:r>
        <w:rPr/>
        <w:t>Приложение  № 2</w:t>
      </w:r>
    </w:p>
    <w:p>
      <w:pPr>
        <w:pStyle w:val="Normal"/>
        <w:jc w:val="right"/>
        <w:rPr/>
      </w:pPr>
      <w:r>
        <w:rPr/>
        <w:t xml:space="preserve">к запросу </w:t>
      </w:r>
    </w:p>
    <w:p>
      <w:pPr>
        <w:pStyle w:val="2"/>
        <w:numPr>
          <w:ilvl w:val="1"/>
          <w:numId w:val="2"/>
        </w:numPr>
        <w:jc w:val="center"/>
        <w:rPr/>
      </w:pPr>
      <w:r>
        <w:rPr/>
        <w:t>Анкета Участника</w:t>
      </w:r>
    </w:p>
    <w:p>
      <w:pPr>
        <w:pStyle w:val="Normal"/>
        <w:rPr/>
      </w:pPr>
      <w:r>
        <w:rPr/>
        <w:t>Наименование организации Участника: _________________________________</w:t>
      </w:r>
    </w:p>
    <w:tbl>
      <w:tblPr>
        <w:tblW w:w="9730" w:type="dxa"/>
        <w:jc w:val="left"/>
        <w:tblInd w:w="98" w:type="dxa"/>
        <w:tblBorders>
          <w:top w:val="single" w:sz="4" w:space="0" w:color="000001"/>
          <w:left w:val="single" w:sz="4" w:space="0" w:color="000001"/>
          <w:bottom w:val="single" w:sz="4" w:space="0" w:color="000001"/>
          <w:insideH w:val="single" w:sz="4" w:space="0" w:color="000001"/>
        </w:tblBorders>
        <w:tblCellMar>
          <w:top w:w="0" w:type="dxa"/>
          <w:left w:w="93" w:type="dxa"/>
          <w:bottom w:w="0" w:type="dxa"/>
          <w:right w:w="108" w:type="dxa"/>
        </w:tblCellMar>
      </w:tblPr>
      <w:tblGrid>
        <w:gridCol w:w="720"/>
        <w:gridCol w:w="4860"/>
        <w:gridCol w:w="4150"/>
      </w:tblGrid>
      <w:tr>
        <w:trPr>
          <w:tblHeader w:val="true"/>
          <w:trHeight w:val="240" w:hRule="atLeast"/>
          <w:cantSplit w:val="true"/>
        </w:trPr>
        <w:tc>
          <w:tcPr>
            <w:tcW w:w="720" w:type="dxa"/>
            <w:tcBorders>
              <w:top w:val="single" w:sz="4" w:space="0" w:color="000001"/>
              <w:left w:val="single" w:sz="4" w:space="0" w:color="000001"/>
              <w:bottom w:val="single" w:sz="4" w:space="0" w:color="000001"/>
              <w:insideH w:val="single" w:sz="4" w:space="0" w:color="000001"/>
            </w:tcBorders>
            <w:shd w:fill="auto" w:val="clear"/>
            <w:tcMar>
              <w:left w:w="93" w:type="dxa"/>
            </w:tcMar>
          </w:tcPr>
          <w:p>
            <w:pPr>
              <w:pStyle w:val="Style33"/>
              <w:spacing w:before="40" w:after="40"/>
              <w:rPr/>
            </w:pPr>
            <w:r>
              <w:rPr>
                <w:sz w:val="23"/>
                <w:szCs w:val="23"/>
              </w:rPr>
              <w:t xml:space="preserve">№ </w:t>
            </w:r>
            <w:r>
              <w:rPr>
                <w:sz w:val="23"/>
                <w:szCs w:val="23"/>
              </w:rPr>
              <w:t>п/п</w:t>
            </w:r>
          </w:p>
        </w:tc>
        <w:tc>
          <w:tcPr>
            <w:tcW w:w="4860" w:type="dxa"/>
            <w:tcBorders>
              <w:top w:val="single" w:sz="4" w:space="0" w:color="000001"/>
              <w:left w:val="single" w:sz="4" w:space="0" w:color="000001"/>
              <w:bottom w:val="single" w:sz="4" w:space="0" w:color="000001"/>
              <w:insideH w:val="single" w:sz="4" w:space="0" w:color="000001"/>
            </w:tcBorders>
            <w:shd w:fill="auto" w:val="clear"/>
            <w:tcMar>
              <w:left w:w="93" w:type="dxa"/>
            </w:tcMar>
          </w:tcPr>
          <w:p>
            <w:pPr>
              <w:pStyle w:val="Style33"/>
              <w:spacing w:before="40" w:after="40"/>
              <w:rPr>
                <w:sz w:val="23"/>
                <w:szCs w:val="23"/>
              </w:rPr>
            </w:pPr>
            <w:r>
              <w:rPr>
                <w:sz w:val="23"/>
                <w:szCs w:val="23"/>
              </w:rPr>
              <w:t>Наименование</w:t>
            </w:r>
          </w:p>
        </w:tc>
        <w:tc>
          <w:tcPr>
            <w:tcW w:w="41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Style33"/>
              <w:spacing w:before="40" w:after="40"/>
              <w:rPr>
                <w:sz w:val="23"/>
                <w:szCs w:val="23"/>
              </w:rPr>
            </w:pPr>
            <w:r>
              <w:rPr>
                <w:sz w:val="23"/>
                <w:szCs w:val="23"/>
              </w:rPr>
              <w:t>Сведения об Участнике</w:t>
            </w:r>
          </w:p>
        </w:tc>
      </w:tr>
      <w:tr>
        <w:trPr>
          <w:cantSplit w:val="true"/>
        </w:trPr>
        <w:tc>
          <w:tcPr>
            <w:tcW w:w="720" w:type="dxa"/>
            <w:tcBorders>
              <w:top w:val="single" w:sz="4" w:space="0" w:color="000001"/>
              <w:left w:val="single" w:sz="4" w:space="0" w:color="000001"/>
              <w:bottom w:val="single" w:sz="4" w:space="0" w:color="000001"/>
              <w:insideH w:val="single" w:sz="4" w:space="0" w:color="000001"/>
            </w:tcBorders>
            <w:shd w:fill="auto" w:val="clear"/>
            <w:tcMar>
              <w:left w:w="93" w:type="dxa"/>
            </w:tcMar>
            <w:vAlign w:val="center"/>
          </w:tcPr>
          <w:p>
            <w:pPr>
              <w:pStyle w:val="Normal"/>
              <w:numPr>
                <w:ilvl w:val="0"/>
                <w:numId w:val="4"/>
              </w:numPr>
              <w:snapToGrid w:val="false"/>
              <w:spacing w:before="0" w:after="60"/>
              <w:jc w:val="center"/>
              <w:rPr>
                <w:sz w:val="23"/>
                <w:szCs w:val="23"/>
              </w:rPr>
            </w:pPr>
            <w:r>
              <w:rPr>
                <w:sz w:val="23"/>
                <w:szCs w:val="23"/>
              </w:rPr>
            </w:r>
          </w:p>
        </w:tc>
        <w:tc>
          <w:tcPr>
            <w:tcW w:w="4860" w:type="dxa"/>
            <w:tcBorders>
              <w:top w:val="single" w:sz="4" w:space="0" w:color="000001"/>
              <w:left w:val="single" w:sz="4" w:space="0" w:color="000001"/>
              <w:bottom w:val="single" w:sz="4" w:space="0" w:color="000001"/>
              <w:insideH w:val="single" w:sz="4" w:space="0" w:color="000001"/>
            </w:tcBorders>
            <w:shd w:fill="auto" w:val="clear"/>
            <w:tcMar>
              <w:left w:w="93" w:type="dxa"/>
            </w:tcMar>
          </w:tcPr>
          <w:p>
            <w:pPr>
              <w:pStyle w:val="Style34"/>
              <w:spacing w:before="40" w:after="40"/>
              <w:rPr>
                <w:sz w:val="23"/>
                <w:szCs w:val="23"/>
              </w:rPr>
            </w:pPr>
            <w:r>
              <w:rPr>
                <w:sz w:val="23"/>
                <w:szCs w:val="23"/>
              </w:rPr>
              <w:t>Организационно-правовая форма и фирменное наименование Участника</w:t>
            </w:r>
          </w:p>
        </w:tc>
        <w:tc>
          <w:tcPr>
            <w:tcW w:w="41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Style34"/>
              <w:snapToGrid w:val="false"/>
              <w:spacing w:before="40" w:after="40"/>
              <w:rPr>
                <w:sz w:val="23"/>
                <w:szCs w:val="23"/>
              </w:rPr>
            </w:pPr>
            <w:r>
              <w:rPr>
                <w:sz w:val="23"/>
                <w:szCs w:val="23"/>
              </w:rPr>
            </w:r>
          </w:p>
        </w:tc>
      </w:tr>
      <w:tr>
        <w:trPr>
          <w:trHeight w:val="1000" w:hRule="atLeast"/>
          <w:cantSplit w:val="true"/>
        </w:trPr>
        <w:tc>
          <w:tcPr>
            <w:tcW w:w="720" w:type="dxa"/>
            <w:tcBorders>
              <w:top w:val="single" w:sz="4" w:space="0" w:color="000001"/>
              <w:left w:val="single" w:sz="4" w:space="0" w:color="000001"/>
              <w:bottom w:val="single" w:sz="4" w:space="0" w:color="000001"/>
              <w:insideH w:val="single" w:sz="4" w:space="0" w:color="000001"/>
            </w:tcBorders>
            <w:shd w:fill="auto" w:val="clear"/>
            <w:tcMar>
              <w:left w:w="93" w:type="dxa"/>
            </w:tcMar>
            <w:vAlign w:val="center"/>
          </w:tcPr>
          <w:p>
            <w:pPr>
              <w:pStyle w:val="Normal"/>
              <w:numPr>
                <w:ilvl w:val="0"/>
                <w:numId w:val="4"/>
              </w:numPr>
              <w:snapToGrid w:val="false"/>
              <w:spacing w:before="0" w:after="60"/>
              <w:jc w:val="center"/>
              <w:rPr>
                <w:sz w:val="23"/>
                <w:szCs w:val="23"/>
              </w:rPr>
            </w:pPr>
            <w:r>
              <w:rPr>
                <w:sz w:val="23"/>
                <w:szCs w:val="23"/>
              </w:rPr>
            </w:r>
          </w:p>
        </w:tc>
        <w:tc>
          <w:tcPr>
            <w:tcW w:w="4860" w:type="dxa"/>
            <w:tcBorders>
              <w:top w:val="single" w:sz="4" w:space="0" w:color="000001"/>
              <w:left w:val="single" w:sz="4" w:space="0" w:color="000001"/>
              <w:bottom w:val="single" w:sz="4" w:space="0" w:color="000001"/>
              <w:insideH w:val="single" w:sz="4" w:space="0" w:color="000001"/>
            </w:tcBorders>
            <w:shd w:fill="auto" w:val="clear"/>
            <w:tcMar>
              <w:left w:w="93" w:type="dxa"/>
            </w:tcMar>
          </w:tcPr>
          <w:p>
            <w:pPr>
              <w:pStyle w:val="Style34"/>
              <w:spacing w:before="40" w:after="40"/>
              <w:rPr>
                <w:sz w:val="23"/>
                <w:szCs w:val="23"/>
              </w:rPr>
            </w:pPr>
            <w:r>
              <w:rPr>
                <w:sz w:val="23"/>
                <w:szCs w:val="23"/>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Style34"/>
              <w:snapToGrid w:val="false"/>
              <w:spacing w:before="40" w:after="40"/>
              <w:rPr>
                <w:sz w:val="23"/>
                <w:szCs w:val="23"/>
              </w:rPr>
            </w:pPr>
            <w:r>
              <w:rPr>
                <w:sz w:val="23"/>
                <w:szCs w:val="23"/>
              </w:rPr>
            </w:r>
          </w:p>
        </w:tc>
      </w:tr>
      <w:tr>
        <w:trPr>
          <w:cantSplit w:val="true"/>
        </w:trPr>
        <w:tc>
          <w:tcPr>
            <w:tcW w:w="720" w:type="dxa"/>
            <w:tcBorders>
              <w:top w:val="single" w:sz="4" w:space="0" w:color="000001"/>
              <w:left w:val="single" w:sz="4" w:space="0" w:color="000001"/>
              <w:bottom w:val="single" w:sz="4" w:space="0" w:color="000001"/>
              <w:insideH w:val="single" w:sz="4" w:space="0" w:color="000001"/>
            </w:tcBorders>
            <w:shd w:fill="auto" w:val="clear"/>
            <w:tcMar>
              <w:left w:w="93" w:type="dxa"/>
            </w:tcMar>
            <w:vAlign w:val="center"/>
          </w:tcPr>
          <w:p>
            <w:pPr>
              <w:pStyle w:val="Normal"/>
              <w:numPr>
                <w:ilvl w:val="0"/>
                <w:numId w:val="4"/>
              </w:numPr>
              <w:snapToGrid w:val="false"/>
              <w:spacing w:before="0" w:after="60"/>
              <w:jc w:val="center"/>
              <w:rPr>
                <w:sz w:val="23"/>
                <w:szCs w:val="23"/>
              </w:rPr>
            </w:pPr>
            <w:r>
              <w:rPr>
                <w:sz w:val="23"/>
                <w:szCs w:val="23"/>
              </w:rPr>
            </w:r>
          </w:p>
        </w:tc>
        <w:tc>
          <w:tcPr>
            <w:tcW w:w="4860" w:type="dxa"/>
            <w:tcBorders>
              <w:top w:val="single" w:sz="4" w:space="0" w:color="000001"/>
              <w:left w:val="single" w:sz="4" w:space="0" w:color="000001"/>
              <w:bottom w:val="single" w:sz="4" w:space="0" w:color="000001"/>
              <w:insideH w:val="single" w:sz="4" w:space="0" w:color="000001"/>
            </w:tcBorders>
            <w:shd w:fill="auto" w:val="clear"/>
            <w:tcMar>
              <w:left w:w="93" w:type="dxa"/>
            </w:tcMar>
          </w:tcPr>
          <w:p>
            <w:pPr>
              <w:pStyle w:val="Style34"/>
              <w:spacing w:before="40" w:after="40"/>
              <w:rPr>
                <w:sz w:val="23"/>
                <w:szCs w:val="23"/>
              </w:rPr>
            </w:pPr>
            <w:r>
              <w:rPr>
                <w:sz w:val="23"/>
                <w:szCs w:val="23"/>
              </w:rPr>
              <w:t>Свидетельство о внесении в Единый государственный реестр юридических лиц (дата и номер, кем выдано)</w:t>
            </w:r>
          </w:p>
        </w:tc>
        <w:tc>
          <w:tcPr>
            <w:tcW w:w="41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Style34"/>
              <w:snapToGrid w:val="false"/>
              <w:spacing w:before="40" w:after="40"/>
              <w:rPr>
                <w:sz w:val="23"/>
                <w:szCs w:val="23"/>
              </w:rPr>
            </w:pPr>
            <w:r>
              <w:rPr>
                <w:sz w:val="23"/>
                <w:szCs w:val="23"/>
              </w:rPr>
            </w:r>
          </w:p>
        </w:tc>
      </w:tr>
      <w:tr>
        <w:trPr>
          <w:cantSplit w:val="true"/>
        </w:trPr>
        <w:tc>
          <w:tcPr>
            <w:tcW w:w="720" w:type="dxa"/>
            <w:tcBorders>
              <w:top w:val="single" w:sz="4" w:space="0" w:color="000001"/>
              <w:left w:val="single" w:sz="4" w:space="0" w:color="000001"/>
              <w:bottom w:val="single" w:sz="4" w:space="0" w:color="000001"/>
              <w:insideH w:val="single" w:sz="4" w:space="0" w:color="000001"/>
            </w:tcBorders>
            <w:shd w:fill="auto" w:val="clear"/>
            <w:tcMar>
              <w:left w:w="93" w:type="dxa"/>
            </w:tcMar>
            <w:vAlign w:val="center"/>
          </w:tcPr>
          <w:p>
            <w:pPr>
              <w:pStyle w:val="Normal"/>
              <w:numPr>
                <w:ilvl w:val="0"/>
                <w:numId w:val="4"/>
              </w:numPr>
              <w:snapToGrid w:val="false"/>
              <w:spacing w:before="0" w:after="60"/>
              <w:jc w:val="center"/>
              <w:rPr>
                <w:sz w:val="23"/>
                <w:szCs w:val="23"/>
              </w:rPr>
            </w:pPr>
            <w:r>
              <w:rPr>
                <w:sz w:val="23"/>
                <w:szCs w:val="23"/>
              </w:rPr>
            </w:r>
          </w:p>
        </w:tc>
        <w:tc>
          <w:tcPr>
            <w:tcW w:w="4860" w:type="dxa"/>
            <w:tcBorders>
              <w:top w:val="single" w:sz="4" w:space="0" w:color="000001"/>
              <w:left w:val="single" w:sz="4" w:space="0" w:color="000001"/>
              <w:bottom w:val="single" w:sz="4" w:space="0" w:color="000001"/>
              <w:insideH w:val="single" w:sz="4" w:space="0" w:color="000001"/>
            </w:tcBorders>
            <w:shd w:fill="auto" w:val="clear"/>
            <w:tcMar>
              <w:left w:w="93" w:type="dxa"/>
            </w:tcMar>
          </w:tcPr>
          <w:p>
            <w:pPr>
              <w:pStyle w:val="Style34"/>
              <w:spacing w:before="40" w:after="40"/>
              <w:rPr>
                <w:sz w:val="23"/>
                <w:szCs w:val="23"/>
              </w:rPr>
            </w:pPr>
            <w:r>
              <w:rPr>
                <w:sz w:val="23"/>
                <w:szCs w:val="23"/>
              </w:rPr>
              <w:t>ИНН/КПП Участника</w:t>
            </w:r>
          </w:p>
        </w:tc>
        <w:tc>
          <w:tcPr>
            <w:tcW w:w="41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Style34"/>
              <w:snapToGrid w:val="false"/>
              <w:spacing w:before="40" w:after="40"/>
              <w:rPr>
                <w:sz w:val="23"/>
                <w:szCs w:val="23"/>
              </w:rPr>
            </w:pPr>
            <w:r>
              <w:rPr>
                <w:sz w:val="23"/>
                <w:szCs w:val="23"/>
              </w:rPr>
            </w:r>
          </w:p>
        </w:tc>
      </w:tr>
      <w:tr>
        <w:trPr>
          <w:cantSplit w:val="true"/>
        </w:trPr>
        <w:tc>
          <w:tcPr>
            <w:tcW w:w="720" w:type="dxa"/>
            <w:tcBorders>
              <w:top w:val="single" w:sz="4" w:space="0" w:color="000001"/>
              <w:left w:val="single" w:sz="4" w:space="0" w:color="000001"/>
              <w:bottom w:val="single" w:sz="4" w:space="0" w:color="000001"/>
              <w:insideH w:val="single" w:sz="4" w:space="0" w:color="000001"/>
            </w:tcBorders>
            <w:shd w:fill="auto" w:val="clear"/>
            <w:tcMar>
              <w:left w:w="93" w:type="dxa"/>
            </w:tcMar>
            <w:vAlign w:val="center"/>
          </w:tcPr>
          <w:p>
            <w:pPr>
              <w:pStyle w:val="Normal"/>
              <w:numPr>
                <w:ilvl w:val="0"/>
                <w:numId w:val="4"/>
              </w:numPr>
              <w:snapToGrid w:val="false"/>
              <w:spacing w:before="0" w:after="60"/>
              <w:jc w:val="center"/>
              <w:rPr>
                <w:sz w:val="23"/>
                <w:szCs w:val="23"/>
              </w:rPr>
            </w:pPr>
            <w:r>
              <w:rPr>
                <w:sz w:val="23"/>
                <w:szCs w:val="23"/>
              </w:rPr>
            </w:r>
          </w:p>
        </w:tc>
        <w:tc>
          <w:tcPr>
            <w:tcW w:w="4860" w:type="dxa"/>
            <w:tcBorders>
              <w:top w:val="single" w:sz="4" w:space="0" w:color="000001"/>
              <w:left w:val="single" w:sz="4" w:space="0" w:color="000001"/>
              <w:bottom w:val="single" w:sz="4" w:space="0" w:color="000001"/>
              <w:insideH w:val="single" w:sz="4" w:space="0" w:color="000001"/>
            </w:tcBorders>
            <w:shd w:fill="auto" w:val="clear"/>
            <w:tcMar>
              <w:left w:w="93" w:type="dxa"/>
            </w:tcMar>
          </w:tcPr>
          <w:p>
            <w:pPr>
              <w:pStyle w:val="Style34"/>
              <w:spacing w:before="40" w:after="40"/>
              <w:rPr>
                <w:sz w:val="23"/>
                <w:szCs w:val="23"/>
              </w:rPr>
            </w:pPr>
            <w:r>
              <w:rPr>
                <w:sz w:val="23"/>
                <w:szCs w:val="23"/>
              </w:rPr>
              <w:t>ОКПО Участника</w:t>
            </w:r>
          </w:p>
        </w:tc>
        <w:tc>
          <w:tcPr>
            <w:tcW w:w="41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Style34"/>
              <w:snapToGrid w:val="false"/>
              <w:spacing w:before="40" w:after="40"/>
              <w:rPr>
                <w:sz w:val="23"/>
                <w:szCs w:val="23"/>
              </w:rPr>
            </w:pPr>
            <w:r>
              <w:rPr>
                <w:sz w:val="23"/>
                <w:szCs w:val="23"/>
              </w:rPr>
            </w:r>
          </w:p>
        </w:tc>
      </w:tr>
      <w:tr>
        <w:trPr>
          <w:cantSplit w:val="true"/>
        </w:trPr>
        <w:tc>
          <w:tcPr>
            <w:tcW w:w="720" w:type="dxa"/>
            <w:tcBorders>
              <w:top w:val="single" w:sz="4" w:space="0" w:color="000001"/>
              <w:left w:val="single" w:sz="4" w:space="0" w:color="000001"/>
              <w:bottom w:val="single" w:sz="4" w:space="0" w:color="000001"/>
              <w:insideH w:val="single" w:sz="4" w:space="0" w:color="000001"/>
            </w:tcBorders>
            <w:shd w:fill="auto" w:val="clear"/>
            <w:tcMar>
              <w:left w:w="93" w:type="dxa"/>
            </w:tcMar>
            <w:vAlign w:val="center"/>
          </w:tcPr>
          <w:p>
            <w:pPr>
              <w:pStyle w:val="Normal"/>
              <w:numPr>
                <w:ilvl w:val="0"/>
                <w:numId w:val="4"/>
              </w:numPr>
              <w:snapToGrid w:val="false"/>
              <w:spacing w:before="0" w:after="60"/>
              <w:jc w:val="center"/>
              <w:rPr>
                <w:sz w:val="23"/>
                <w:szCs w:val="23"/>
              </w:rPr>
            </w:pPr>
            <w:r>
              <w:rPr>
                <w:sz w:val="23"/>
                <w:szCs w:val="23"/>
              </w:rPr>
            </w:r>
          </w:p>
        </w:tc>
        <w:tc>
          <w:tcPr>
            <w:tcW w:w="4860" w:type="dxa"/>
            <w:tcBorders>
              <w:top w:val="single" w:sz="4" w:space="0" w:color="000001"/>
              <w:left w:val="single" w:sz="4" w:space="0" w:color="000001"/>
              <w:bottom w:val="single" w:sz="4" w:space="0" w:color="000001"/>
              <w:insideH w:val="single" w:sz="4" w:space="0" w:color="000001"/>
            </w:tcBorders>
            <w:shd w:fill="auto" w:val="clear"/>
            <w:tcMar>
              <w:left w:w="93" w:type="dxa"/>
            </w:tcMar>
          </w:tcPr>
          <w:p>
            <w:pPr>
              <w:pStyle w:val="Style34"/>
              <w:spacing w:before="40" w:after="40"/>
              <w:rPr>
                <w:sz w:val="23"/>
                <w:szCs w:val="23"/>
              </w:rPr>
            </w:pPr>
            <w:r>
              <w:rPr>
                <w:sz w:val="23"/>
                <w:szCs w:val="23"/>
              </w:rPr>
              <w:t>ОКОНХ или ОКВЭД Участника</w:t>
            </w:r>
          </w:p>
        </w:tc>
        <w:tc>
          <w:tcPr>
            <w:tcW w:w="41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Style34"/>
              <w:snapToGrid w:val="false"/>
              <w:spacing w:before="40" w:after="40"/>
              <w:rPr>
                <w:sz w:val="23"/>
                <w:szCs w:val="23"/>
              </w:rPr>
            </w:pPr>
            <w:r>
              <w:rPr>
                <w:sz w:val="23"/>
                <w:szCs w:val="23"/>
              </w:rPr>
            </w:r>
          </w:p>
        </w:tc>
      </w:tr>
      <w:tr>
        <w:trPr>
          <w:cantSplit w:val="true"/>
        </w:trPr>
        <w:tc>
          <w:tcPr>
            <w:tcW w:w="720" w:type="dxa"/>
            <w:tcBorders>
              <w:top w:val="single" w:sz="4" w:space="0" w:color="000001"/>
              <w:left w:val="single" w:sz="4" w:space="0" w:color="000001"/>
              <w:bottom w:val="single" w:sz="4" w:space="0" w:color="000001"/>
              <w:insideH w:val="single" w:sz="4" w:space="0" w:color="000001"/>
            </w:tcBorders>
            <w:shd w:fill="auto" w:val="clear"/>
            <w:tcMar>
              <w:left w:w="93" w:type="dxa"/>
            </w:tcMar>
            <w:vAlign w:val="center"/>
          </w:tcPr>
          <w:p>
            <w:pPr>
              <w:pStyle w:val="Normal"/>
              <w:numPr>
                <w:ilvl w:val="0"/>
                <w:numId w:val="4"/>
              </w:numPr>
              <w:snapToGrid w:val="false"/>
              <w:spacing w:before="0" w:after="60"/>
              <w:jc w:val="center"/>
              <w:rPr>
                <w:sz w:val="23"/>
                <w:szCs w:val="23"/>
              </w:rPr>
            </w:pPr>
            <w:r>
              <w:rPr>
                <w:sz w:val="23"/>
                <w:szCs w:val="23"/>
              </w:rPr>
            </w:r>
          </w:p>
        </w:tc>
        <w:tc>
          <w:tcPr>
            <w:tcW w:w="4860" w:type="dxa"/>
            <w:tcBorders>
              <w:top w:val="single" w:sz="4" w:space="0" w:color="000001"/>
              <w:left w:val="single" w:sz="4" w:space="0" w:color="000001"/>
              <w:bottom w:val="single" w:sz="4" w:space="0" w:color="000001"/>
              <w:insideH w:val="single" w:sz="4" w:space="0" w:color="000001"/>
            </w:tcBorders>
            <w:shd w:fill="auto" w:val="clear"/>
            <w:tcMar>
              <w:left w:w="93" w:type="dxa"/>
            </w:tcMar>
          </w:tcPr>
          <w:p>
            <w:pPr>
              <w:pStyle w:val="Style34"/>
              <w:spacing w:before="40" w:after="40"/>
              <w:rPr>
                <w:sz w:val="23"/>
                <w:szCs w:val="23"/>
              </w:rPr>
            </w:pPr>
            <w:r>
              <w:rPr>
                <w:sz w:val="23"/>
                <w:szCs w:val="23"/>
              </w:rPr>
              <w:t>Юридический адрес</w:t>
            </w:r>
          </w:p>
        </w:tc>
        <w:tc>
          <w:tcPr>
            <w:tcW w:w="41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Style34"/>
              <w:snapToGrid w:val="false"/>
              <w:spacing w:before="40" w:after="40"/>
              <w:rPr>
                <w:sz w:val="23"/>
                <w:szCs w:val="23"/>
              </w:rPr>
            </w:pPr>
            <w:r>
              <w:rPr>
                <w:sz w:val="23"/>
                <w:szCs w:val="23"/>
              </w:rPr>
            </w:r>
          </w:p>
        </w:tc>
      </w:tr>
      <w:tr>
        <w:trPr>
          <w:cantSplit w:val="true"/>
        </w:trPr>
        <w:tc>
          <w:tcPr>
            <w:tcW w:w="720" w:type="dxa"/>
            <w:tcBorders>
              <w:top w:val="single" w:sz="4" w:space="0" w:color="000001"/>
              <w:left w:val="single" w:sz="4" w:space="0" w:color="000001"/>
              <w:bottom w:val="single" w:sz="4" w:space="0" w:color="000001"/>
              <w:insideH w:val="single" w:sz="4" w:space="0" w:color="000001"/>
            </w:tcBorders>
            <w:shd w:fill="auto" w:val="clear"/>
            <w:tcMar>
              <w:left w:w="93" w:type="dxa"/>
            </w:tcMar>
            <w:vAlign w:val="center"/>
          </w:tcPr>
          <w:p>
            <w:pPr>
              <w:pStyle w:val="Normal"/>
              <w:numPr>
                <w:ilvl w:val="0"/>
                <w:numId w:val="4"/>
              </w:numPr>
              <w:snapToGrid w:val="false"/>
              <w:spacing w:before="0" w:after="60"/>
              <w:jc w:val="center"/>
              <w:rPr>
                <w:sz w:val="23"/>
                <w:szCs w:val="23"/>
              </w:rPr>
            </w:pPr>
            <w:r>
              <w:rPr>
                <w:sz w:val="23"/>
                <w:szCs w:val="23"/>
              </w:rPr>
            </w:r>
          </w:p>
        </w:tc>
        <w:tc>
          <w:tcPr>
            <w:tcW w:w="4860" w:type="dxa"/>
            <w:tcBorders>
              <w:top w:val="single" w:sz="4" w:space="0" w:color="000001"/>
              <w:left w:val="single" w:sz="4" w:space="0" w:color="000001"/>
              <w:bottom w:val="single" w:sz="4" w:space="0" w:color="000001"/>
              <w:insideH w:val="single" w:sz="4" w:space="0" w:color="000001"/>
            </w:tcBorders>
            <w:shd w:fill="auto" w:val="clear"/>
            <w:tcMar>
              <w:left w:w="93" w:type="dxa"/>
            </w:tcMar>
          </w:tcPr>
          <w:p>
            <w:pPr>
              <w:pStyle w:val="Style34"/>
              <w:spacing w:before="40" w:after="40"/>
              <w:rPr>
                <w:sz w:val="23"/>
                <w:szCs w:val="23"/>
              </w:rPr>
            </w:pPr>
            <w:r>
              <w:rPr>
                <w:sz w:val="23"/>
                <w:szCs w:val="23"/>
              </w:rPr>
              <w:t>Почтовый адрес</w:t>
            </w:r>
          </w:p>
        </w:tc>
        <w:tc>
          <w:tcPr>
            <w:tcW w:w="41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Style34"/>
              <w:snapToGrid w:val="false"/>
              <w:spacing w:before="40" w:after="40"/>
              <w:rPr>
                <w:sz w:val="23"/>
                <w:szCs w:val="23"/>
              </w:rPr>
            </w:pPr>
            <w:r>
              <w:rPr>
                <w:sz w:val="23"/>
                <w:szCs w:val="23"/>
              </w:rPr>
            </w:r>
          </w:p>
        </w:tc>
      </w:tr>
      <w:tr>
        <w:trPr>
          <w:cantSplit w:val="true"/>
        </w:trPr>
        <w:tc>
          <w:tcPr>
            <w:tcW w:w="720" w:type="dxa"/>
            <w:tcBorders>
              <w:top w:val="single" w:sz="4" w:space="0" w:color="000001"/>
              <w:left w:val="single" w:sz="4" w:space="0" w:color="000001"/>
              <w:bottom w:val="single" w:sz="4" w:space="0" w:color="000001"/>
              <w:insideH w:val="single" w:sz="4" w:space="0" w:color="000001"/>
            </w:tcBorders>
            <w:shd w:fill="auto" w:val="clear"/>
            <w:tcMar>
              <w:left w:w="93" w:type="dxa"/>
            </w:tcMar>
            <w:vAlign w:val="center"/>
          </w:tcPr>
          <w:p>
            <w:pPr>
              <w:pStyle w:val="Normal"/>
              <w:numPr>
                <w:ilvl w:val="0"/>
                <w:numId w:val="4"/>
              </w:numPr>
              <w:snapToGrid w:val="false"/>
              <w:spacing w:before="0" w:after="60"/>
              <w:jc w:val="center"/>
              <w:rPr>
                <w:sz w:val="23"/>
                <w:szCs w:val="23"/>
              </w:rPr>
            </w:pPr>
            <w:r>
              <w:rPr>
                <w:sz w:val="23"/>
                <w:szCs w:val="23"/>
              </w:rPr>
            </w:r>
          </w:p>
        </w:tc>
        <w:tc>
          <w:tcPr>
            <w:tcW w:w="4860" w:type="dxa"/>
            <w:tcBorders>
              <w:top w:val="single" w:sz="4" w:space="0" w:color="000001"/>
              <w:left w:val="single" w:sz="4" w:space="0" w:color="000001"/>
              <w:bottom w:val="single" w:sz="4" w:space="0" w:color="000001"/>
              <w:insideH w:val="single" w:sz="4" w:space="0" w:color="000001"/>
            </w:tcBorders>
            <w:shd w:fill="auto" w:val="clear"/>
            <w:tcMar>
              <w:left w:w="93" w:type="dxa"/>
            </w:tcMar>
          </w:tcPr>
          <w:p>
            <w:pPr>
              <w:pStyle w:val="Style34"/>
              <w:spacing w:before="40" w:after="40"/>
              <w:rPr>
                <w:sz w:val="23"/>
                <w:szCs w:val="23"/>
              </w:rPr>
            </w:pPr>
            <w:r>
              <w:rPr>
                <w:sz w:val="23"/>
                <w:szCs w:val="23"/>
              </w:rPr>
              <w:t>Филиалы: перечислить наименования и почтовые адреса</w:t>
            </w:r>
          </w:p>
        </w:tc>
        <w:tc>
          <w:tcPr>
            <w:tcW w:w="41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Style34"/>
              <w:snapToGrid w:val="false"/>
              <w:spacing w:before="40" w:after="40"/>
              <w:rPr>
                <w:sz w:val="23"/>
                <w:szCs w:val="23"/>
              </w:rPr>
            </w:pPr>
            <w:r>
              <w:rPr>
                <w:sz w:val="23"/>
                <w:szCs w:val="23"/>
              </w:rPr>
            </w:r>
          </w:p>
        </w:tc>
      </w:tr>
      <w:tr>
        <w:trPr>
          <w:cantSplit w:val="true"/>
        </w:trPr>
        <w:tc>
          <w:tcPr>
            <w:tcW w:w="720" w:type="dxa"/>
            <w:tcBorders>
              <w:top w:val="single" w:sz="4" w:space="0" w:color="000001"/>
              <w:left w:val="single" w:sz="4" w:space="0" w:color="000001"/>
              <w:bottom w:val="single" w:sz="4" w:space="0" w:color="000001"/>
              <w:insideH w:val="single" w:sz="4" w:space="0" w:color="000001"/>
            </w:tcBorders>
            <w:shd w:fill="auto" w:val="clear"/>
            <w:tcMar>
              <w:left w:w="93" w:type="dxa"/>
            </w:tcMar>
            <w:vAlign w:val="center"/>
          </w:tcPr>
          <w:p>
            <w:pPr>
              <w:pStyle w:val="Normal"/>
              <w:numPr>
                <w:ilvl w:val="0"/>
                <w:numId w:val="4"/>
              </w:numPr>
              <w:snapToGrid w:val="false"/>
              <w:spacing w:before="0" w:after="60"/>
              <w:jc w:val="center"/>
              <w:rPr>
                <w:sz w:val="23"/>
                <w:szCs w:val="23"/>
              </w:rPr>
            </w:pPr>
            <w:r>
              <w:rPr>
                <w:sz w:val="23"/>
                <w:szCs w:val="23"/>
              </w:rPr>
            </w:r>
          </w:p>
        </w:tc>
        <w:tc>
          <w:tcPr>
            <w:tcW w:w="4860" w:type="dxa"/>
            <w:tcBorders>
              <w:top w:val="single" w:sz="4" w:space="0" w:color="000001"/>
              <w:left w:val="single" w:sz="4" w:space="0" w:color="000001"/>
              <w:bottom w:val="single" w:sz="4" w:space="0" w:color="000001"/>
              <w:insideH w:val="single" w:sz="4" w:space="0" w:color="000001"/>
            </w:tcBorders>
            <w:shd w:fill="auto" w:val="clear"/>
            <w:tcMar>
              <w:left w:w="93" w:type="dxa"/>
            </w:tcMar>
          </w:tcPr>
          <w:p>
            <w:pPr>
              <w:pStyle w:val="Style34"/>
              <w:spacing w:before="40" w:after="40"/>
              <w:rPr>
                <w:sz w:val="23"/>
                <w:szCs w:val="23"/>
              </w:rPr>
            </w:pPr>
            <w:r>
              <w:rPr>
                <w:sz w:val="23"/>
                <w:szCs w:val="23"/>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Style34"/>
              <w:snapToGrid w:val="false"/>
              <w:spacing w:before="40" w:after="40"/>
              <w:rPr>
                <w:sz w:val="23"/>
                <w:szCs w:val="23"/>
              </w:rPr>
            </w:pPr>
            <w:r>
              <w:rPr>
                <w:sz w:val="23"/>
                <w:szCs w:val="23"/>
              </w:rPr>
            </w:r>
          </w:p>
        </w:tc>
      </w:tr>
      <w:tr>
        <w:trPr>
          <w:cantSplit w:val="true"/>
        </w:trPr>
        <w:tc>
          <w:tcPr>
            <w:tcW w:w="720" w:type="dxa"/>
            <w:tcBorders>
              <w:top w:val="single" w:sz="4" w:space="0" w:color="000001"/>
              <w:left w:val="single" w:sz="4" w:space="0" w:color="000001"/>
              <w:bottom w:val="single" w:sz="4" w:space="0" w:color="000001"/>
              <w:insideH w:val="single" w:sz="4" w:space="0" w:color="000001"/>
            </w:tcBorders>
            <w:shd w:fill="auto" w:val="clear"/>
            <w:tcMar>
              <w:left w:w="93" w:type="dxa"/>
            </w:tcMar>
            <w:vAlign w:val="center"/>
          </w:tcPr>
          <w:p>
            <w:pPr>
              <w:pStyle w:val="Normal"/>
              <w:numPr>
                <w:ilvl w:val="0"/>
                <w:numId w:val="4"/>
              </w:numPr>
              <w:snapToGrid w:val="false"/>
              <w:spacing w:before="0" w:after="60"/>
              <w:jc w:val="center"/>
              <w:rPr>
                <w:sz w:val="23"/>
                <w:szCs w:val="23"/>
              </w:rPr>
            </w:pPr>
            <w:r>
              <w:rPr>
                <w:sz w:val="23"/>
                <w:szCs w:val="23"/>
              </w:rPr>
            </w:r>
          </w:p>
        </w:tc>
        <w:tc>
          <w:tcPr>
            <w:tcW w:w="4860" w:type="dxa"/>
            <w:tcBorders>
              <w:top w:val="single" w:sz="4" w:space="0" w:color="000001"/>
              <w:left w:val="single" w:sz="4" w:space="0" w:color="000001"/>
              <w:bottom w:val="single" w:sz="4" w:space="0" w:color="000001"/>
              <w:insideH w:val="single" w:sz="4" w:space="0" w:color="000001"/>
            </w:tcBorders>
            <w:shd w:fill="auto" w:val="clear"/>
            <w:tcMar>
              <w:left w:w="93" w:type="dxa"/>
            </w:tcMar>
          </w:tcPr>
          <w:p>
            <w:pPr>
              <w:pStyle w:val="Style34"/>
              <w:spacing w:before="40" w:after="40"/>
              <w:rPr>
                <w:sz w:val="23"/>
                <w:szCs w:val="23"/>
              </w:rPr>
            </w:pPr>
            <w:r>
              <w:rPr>
                <w:sz w:val="23"/>
                <w:szCs w:val="23"/>
              </w:rPr>
              <w:t>Телефоны Участника (с указанием кода города)</w:t>
            </w:r>
          </w:p>
        </w:tc>
        <w:tc>
          <w:tcPr>
            <w:tcW w:w="41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Style34"/>
              <w:snapToGrid w:val="false"/>
              <w:spacing w:before="40" w:after="40"/>
              <w:rPr>
                <w:sz w:val="23"/>
                <w:szCs w:val="23"/>
              </w:rPr>
            </w:pPr>
            <w:r>
              <w:rPr>
                <w:sz w:val="23"/>
                <w:szCs w:val="23"/>
              </w:rPr>
            </w:r>
          </w:p>
        </w:tc>
      </w:tr>
      <w:tr>
        <w:trPr>
          <w:trHeight w:val="116" w:hRule="atLeast"/>
          <w:cantSplit w:val="true"/>
        </w:trPr>
        <w:tc>
          <w:tcPr>
            <w:tcW w:w="720" w:type="dxa"/>
            <w:tcBorders>
              <w:top w:val="single" w:sz="4" w:space="0" w:color="000001"/>
              <w:left w:val="single" w:sz="4" w:space="0" w:color="000001"/>
              <w:bottom w:val="single" w:sz="4" w:space="0" w:color="000001"/>
              <w:insideH w:val="single" w:sz="4" w:space="0" w:color="000001"/>
            </w:tcBorders>
            <w:shd w:fill="auto" w:val="clear"/>
            <w:tcMar>
              <w:left w:w="93" w:type="dxa"/>
            </w:tcMar>
            <w:vAlign w:val="center"/>
          </w:tcPr>
          <w:p>
            <w:pPr>
              <w:pStyle w:val="Normal"/>
              <w:numPr>
                <w:ilvl w:val="0"/>
                <w:numId w:val="4"/>
              </w:numPr>
              <w:snapToGrid w:val="false"/>
              <w:spacing w:before="0" w:after="60"/>
              <w:jc w:val="center"/>
              <w:rPr>
                <w:sz w:val="23"/>
                <w:szCs w:val="23"/>
              </w:rPr>
            </w:pPr>
            <w:r>
              <w:rPr>
                <w:sz w:val="23"/>
                <w:szCs w:val="23"/>
              </w:rPr>
            </w:r>
          </w:p>
        </w:tc>
        <w:tc>
          <w:tcPr>
            <w:tcW w:w="4860" w:type="dxa"/>
            <w:tcBorders>
              <w:top w:val="single" w:sz="4" w:space="0" w:color="000001"/>
              <w:left w:val="single" w:sz="4" w:space="0" w:color="000001"/>
              <w:bottom w:val="single" w:sz="4" w:space="0" w:color="000001"/>
              <w:insideH w:val="single" w:sz="4" w:space="0" w:color="000001"/>
            </w:tcBorders>
            <w:shd w:fill="auto" w:val="clear"/>
            <w:tcMar>
              <w:left w:w="93" w:type="dxa"/>
            </w:tcMar>
          </w:tcPr>
          <w:p>
            <w:pPr>
              <w:pStyle w:val="Style34"/>
              <w:spacing w:before="40" w:after="40"/>
              <w:rPr>
                <w:sz w:val="23"/>
                <w:szCs w:val="23"/>
              </w:rPr>
            </w:pPr>
            <w:r>
              <w:rPr>
                <w:sz w:val="23"/>
                <w:szCs w:val="23"/>
              </w:rPr>
              <w:t>Факс Участника (с указанием кода города)</w:t>
            </w:r>
          </w:p>
        </w:tc>
        <w:tc>
          <w:tcPr>
            <w:tcW w:w="41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Style34"/>
              <w:snapToGrid w:val="false"/>
              <w:spacing w:before="40" w:after="40"/>
              <w:rPr>
                <w:sz w:val="23"/>
                <w:szCs w:val="23"/>
              </w:rPr>
            </w:pPr>
            <w:r>
              <w:rPr>
                <w:sz w:val="23"/>
                <w:szCs w:val="23"/>
              </w:rPr>
            </w:r>
          </w:p>
        </w:tc>
      </w:tr>
      <w:tr>
        <w:trPr>
          <w:cantSplit w:val="true"/>
        </w:trPr>
        <w:tc>
          <w:tcPr>
            <w:tcW w:w="720" w:type="dxa"/>
            <w:tcBorders>
              <w:top w:val="single" w:sz="4" w:space="0" w:color="000001"/>
              <w:left w:val="single" w:sz="4" w:space="0" w:color="000001"/>
              <w:bottom w:val="single" w:sz="4" w:space="0" w:color="000001"/>
              <w:insideH w:val="single" w:sz="4" w:space="0" w:color="000001"/>
            </w:tcBorders>
            <w:shd w:fill="auto" w:val="clear"/>
            <w:tcMar>
              <w:left w:w="93" w:type="dxa"/>
            </w:tcMar>
            <w:vAlign w:val="center"/>
          </w:tcPr>
          <w:p>
            <w:pPr>
              <w:pStyle w:val="Normal"/>
              <w:numPr>
                <w:ilvl w:val="0"/>
                <w:numId w:val="4"/>
              </w:numPr>
              <w:snapToGrid w:val="false"/>
              <w:spacing w:before="0" w:after="60"/>
              <w:jc w:val="center"/>
              <w:rPr>
                <w:sz w:val="23"/>
                <w:szCs w:val="23"/>
              </w:rPr>
            </w:pPr>
            <w:r>
              <w:rPr>
                <w:sz w:val="23"/>
                <w:szCs w:val="23"/>
              </w:rPr>
            </w:r>
          </w:p>
        </w:tc>
        <w:tc>
          <w:tcPr>
            <w:tcW w:w="4860" w:type="dxa"/>
            <w:tcBorders>
              <w:top w:val="single" w:sz="4" w:space="0" w:color="000001"/>
              <w:left w:val="single" w:sz="4" w:space="0" w:color="000001"/>
              <w:bottom w:val="single" w:sz="4" w:space="0" w:color="000001"/>
              <w:insideH w:val="single" w:sz="4" w:space="0" w:color="000001"/>
            </w:tcBorders>
            <w:shd w:fill="auto" w:val="clear"/>
            <w:tcMar>
              <w:left w:w="93" w:type="dxa"/>
            </w:tcMar>
          </w:tcPr>
          <w:p>
            <w:pPr>
              <w:pStyle w:val="Style34"/>
              <w:spacing w:before="40" w:after="40"/>
              <w:rPr>
                <w:sz w:val="23"/>
                <w:szCs w:val="23"/>
              </w:rPr>
            </w:pPr>
            <w:r>
              <w:rPr>
                <w:sz w:val="23"/>
                <w:szCs w:val="23"/>
              </w:rPr>
              <w:t>Адрес электронной почты Участника</w:t>
            </w:r>
          </w:p>
        </w:tc>
        <w:tc>
          <w:tcPr>
            <w:tcW w:w="41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Style34"/>
              <w:snapToGrid w:val="false"/>
              <w:spacing w:before="40" w:after="40"/>
              <w:rPr>
                <w:sz w:val="23"/>
                <w:szCs w:val="23"/>
              </w:rPr>
            </w:pPr>
            <w:r>
              <w:rPr>
                <w:sz w:val="23"/>
                <w:szCs w:val="23"/>
              </w:rPr>
            </w:r>
          </w:p>
        </w:tc>
      </w:tr>
      <w:tr>
        <w:trPr>
          <w:cantSplit w:val="true"/>
        </w:trPr>
        <w:tc>
          <w:tcPr>
            <w:tcW w:w="720" w:type="dxa"/>
            <w:tcBorders>
              <w:top w:val="single" w:sz="4" w:space="0" w:color="000001"/>
              <w:left w:val="single" w:sz="4" w:space="0" w:color="000001"/>
              <w:bottom w:val="single" w:sz="4" w:space="0" w:color="000001"/>
              <w:insideH w:val="single" w:sz="4" w:space="0" w:color="000001"/>
            </w:tcBorders>
            <w:shd w:fill="auto" w:val="clear"/>
            <w:tcMar>
              <w:left w:w="93" w:type="dxa"/>
            </w:tcMar>
            <w:vAlign w:val="center"/>
          </w:tcPr>
          <w:p>
            <w:pPr>
              <w:pStyle w:val="Normal"/>
              <w:numPr>
                <w:ilvl w:val="0"/>
                <w:numId w:val="4"/>
              </w:numPr>
              <w:snapToGrid w:val="false"/>
              <w:spacing w:before="0" w:after="60"/>
              <w:jc w:val="center"/>
              <w:rPr>
                <w:color w:val="000000"/>
                <w:sz w:val="23"/>
                <w:szCs w:val="23"/>
              </w:rPr>
            </w:pPr>
            <w:r>
              <w:rPr>
                <w:color w:val="000000"/>
                <w:sz w:val="23"/>
                <w:szCs w:val="23"/>
              </w:rPr>
            </w:r>
          </w:p>
        </w:tc>
        <w:tc>
          <w:tcPr>
            <w:tcW w:w="4860" w:type="dxa"/>
            <w:tcBorders>
              <w:top w:val="single" w:sz="4" w:space="0" w:color="000001"/>
              <w:left w:val="single" w:sz="4" w:space="0" w:color="000001"/>
              <w:bottom w:val="single" w:sz="4" w:space="0" w:color="000001"/>
              <w:insideH w:val="single" w:sz="4" w:space="0" w:color="000001"/>
            </w:tcBorders>
            <w:shd w:fill="auto" w:val="clear"/>
            <w:tcMar>
              <w:left w:w="93" w:type="dxa"/>
            </w:tcMar>
          </w:tcPr>
          <w:p>
            <w:pPr>
              <w:pStyle w:val="Style34"/>
              <w:spacing w:before="40" w:after="40"/>
              <w:rPr/>
            </w:pPr>
            <w:r>
              <w:rPr>
                <w:color w:val="000000"/>
                <w:sz w:val="23"/>
                <w:szCs w:val="23"/>
              </w:rPr>
              <w:t xml:space="preserve">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 (Информация о документе на основании которого руководитель имеет </w:t>
            </w:r>
            <w:r>
              <w:rPr>
                <w:color w:val="000000"/>
                <w:sz w:val="23"/>
                <w:szCs w:val="23"/>
                <w:u w:val="single"/>
              </w:rPr>
              <w:t>право подписи</w:t>
            </w:r>
            <w:r>
              <w:rPr>
                <w:color w:val="000000"/>
                <w:sz w:val="23"/>
                <w:szCs w:val="23"/>
              </w:rPr>
              <w:t xml:space="preserve"> </w:t>
            </w:r>
            <w:r>
              <w:rPr>
                <w:sz w:val="23"/>
                <w:szCs w:val="23"/>
              </w:rPr>
              <w:t>в соответствии с законодательством Российской Федерации).</w:t>
            </w:r>
          </w:p>
        </w:tc>
        <w:tc>
          <w:tcPr>
            <w:tcW w:w="41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Style34"/>
              <w:snapToGrid w:val="false"/>
              <w:spacing w:before="40" w:after="40"/>
              <w:rPr>
                <w:color w:val="000000"/>
                <w:sz w:val="23"/>
                <w:szCs w:val="23"/>
              </w:rPr>
            </w:pPr>
            <w:r>
              <w:rPr>
                <w:color w:val="000000"/>
                <w:sz w:val="23"/>
                <w:szCs w:val="23"/>
              </w:rPr>
            </w:r>
          </w:p>
        </w:tc>
      </w:tr>
      <w:tr>
        <w:trPr>
          <w:cantSplit w:val="true"/>
        </w:trPr>
        <w:tc>
          <w:tcPr>
            <w:tcW w:w="720" w:type="dxa"/>
            <w:tcBorders>
              <w:top w:val="single" w:sz="4" w:space="0" w:color="000001"/>
              <w:left w:val="single" w:sz="4" w:space="0" w:color="000001"/>
              <w:bottom w:val="single" w:sz="4" w:space="0" w:color="000001"/>
              <w:insideH w:val="single" w:sz="4" w:space="0" w:color="000001"/>
            </w:tcBorders>
            <w:shd w:fill="auto" w:val="clear"/>
            <w:tcMar>
              <w:left w:w="93" w:type="dxa"/>
            </w:tcMar>
            <w:vAlign w:val="center"/>
          </w:tcPr>
          <w:p>
            <w:pPr>
              <w:pStyle w:val="Normal"/>
              <w:numPr>
                <w:ilvl w:val="0"/>
                <w:numId w:val="4"/>
              </w:numPr>
              <w:snapToGrid w:val="false"/>
              <w:spacing w:before="0" w:after="60"/>
              <w:jc w:val="center"/>
              <w:rPr>
                <w:color w:val="000000"/>
                <w:sz w:val="23"/>
                <w:szCs w:val="23"/>
              </w:rPr>
            </w:pPr>
            <w:r>
              <w:rPr>
                <w:color w:val="000000"/>
                <w:sz w:val="23"/>
                <w:szCs w:val="23"/>
              </w:rPr>
            </w:r>
          </w:p>
        </w:tc>
        <w:tc>
          <w:tcPr>
            <w:tcW w:w="4860" w:type="dxa"/>
            <w:tcBorders>
              <w:top w:val="single" w:sz="4" w:space="0" w:color="000001"/>
              <w:left w:val="single" w:sz="4" w:space="0" w:color="000001"/>
              <w:bottom w:val="single" w:sz="4" w:space="0" w:color="000001"/>
              <w:insideH w:val="single" w:sz="4" w:space="0" w:color="000001"/>
            </w:tcBorders>
            <w:shd w:fill="auto" w:val="clear"/>
            <w:tcMar>
              <w:left w:w="93" w:type="dxa"/>
            </w:tcMar>
          </w:tcPr>
          <w:p>
            <w:pPr>
              <w:pStyle w:val="Style34"/>
              <w:spacing w:before="40" w:after="40"/>
              <w:rPr>
                <w:color w:val="000000"/>
                <w:sz w:val="23"/>
                <w:szCs w:val="23"/>
              </w:rPr>
            </w:pPr>
            <w:r>
              <w:rPr>
                <w:color w:val="000000"/>
                <w:sz w:val="23"/>
                <w:szCs w:val="23"/>
              </w:rPr>
              <w:t>Фамилия, Имя и Отчество главного бухгалтера Участника</w:t>
            </w:r>
          </w:p>
        </w:tc>
        <w:tc>
          <w:tcPr>
            <w:tcW w:w="41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Style34"/>
              <w:snapToGrid w:val="false"/>
              <w:spacing w:before="40" w:after="40"/>
              <w:rPr>
                <w:color w:val="000000"/>
                <w:sz w:val="23"/>
                <w:szCs w:val="23"/>
              </w:rPr>
            </w:pPr>
            <w:r>
              <w:rPr>
                <w:color w:val="000000"/>
                <w:sz w:val="23"/>
                <w:szCs w:val="23"/>
              </w:rPr>
            </w:r>
          </w:p>
        </w:tc>
      </w:tr>
      <w:tr>
        <w:trPr>
          <w:cantSplit w:val="true"/>
        </w:trPr>
        <w:tc>
          <w:tcPr>
            <w:tcW w:w="720" w:type="dxa"/>
            <w:tcBorders>
              <w:top w:val="single" w:sz="4" w:space="0" w:color="000001"/>
              <w:left w:val="single" w:sz="4" w:space="0" w:color="000001"/>
              <w:bottom w:val="single" w:sz="4" w:space="0" w:color="000001"/>
              <w:insideH w:val="single" w:sz="4" w:space="0" w:color="000001"/>
            </w:tcBorders>
            <w:shd w:fill="auto" w:val="clear"/>
            <w:tcMar>
              <w:left w:w="93" w:type="dxa"/>
            </w:tcMar>
            <w:vAlign w:val="center"/>
          </w:tcPr>
          <w:p>
            <w:pPr>
              <w:pStyle w:val="Normal"/>
              <w:numPr>
                <w:ilvl w:val="0"/>
                <w:numId w:val="4"/>
              </w:numPr>
              <w:snapToGrid w:val="false"/>
              <w:spacing w:before="0" w:after="60"/>
              <w:jc w:val="center"/>
              <w:rPr>
                <w:color w:val="000000"/>
                <w:sz w:val="23"/>
                <w:szCs w:val="23"/>
              </w:rPr>
            </w:pPr>
            <w:r>
              <w:rPr>
                <w:color w:val="000000"/>
                <w:sz w:val="23"/>
                <w:szCs w:val="23"/>
              </w:rPr>
            </w:r>
          </w:p>
        </w:tc>
        <w:tc>
          <w:tcPr>
            <w:tcW w:w="4860" w:type="dxa"/>
            <w:tcBorders>
              <w:top w:val="single" w:sz="4" w:space="0" w:color="000001"/>
              <w:left w:val="single" w:sz="4" w:space="0" w:color="000001"/>
              <w:bottom w:val="single" w:sz="4" w:space="0" w:color="000001"/>
              <w:insideH w:val="single" w:sz="4" w:space="0" w:color="000001"/>
            </w:tcBorders>
            <w:shd w:fill="auto" w:val="clear"/>
            <w:tcMar>
              <w:left w:w="93" w:type="dxa"/>
            </w:tcMar>
          </w:tcPr>
          <w:p>
            <w:pPr>
              <w:pStyle w:val="Style34"/>
              <w:spacing w:before="40" w:after="40"/>
              <w:rPr>
                <w:sz w:val="23"/>
                <w:szCs w:val="23"/>
              </w:rPr>
            </w:pPr>
            <w:r>
              <w:rPr>
                <w:sz w:val="23"/>
                <w:szCs w:val="23"/>
              </w:rPr>
              <w:t>Фамилия, Имя и Отчество ответственного лица Участника с указанием должности и контактного телефона</w:t>
            </w:r>
          </w:p>
        </w:tc>
        <w:tc>
          <w:tcPr>
            <w:tcW w:w="4150" w:type="dxa"/>
            <w:tcBorders>
              <w:top w:val="single" w:sz="4" w:space="0" w:color="000001"/>
              <w:left w:val="single" w:sz="4" w:space="0" w:color="000001"/>
              <w:bottom w:val="single" w:sz="4" w:space="0" w:color="000001"/>
              <w:right w:val="single" w:sz="4" w:space="0" w:color="000001"/>
              <w:insideH w:val="single" w:sz="4" w:space="0" w:color="000001"/>
              <w:insideV w:val="single" w:sz="4" w:space="0" w:color="000001"/>
            </w:tcBorders>
            <w:shd w:fill="auto" w:val="clear"/>
            <w:tcMar>
              <w:left w:w="93" w:type="dxa"/>
            </w:tcMar>
          </w:tcPr>
          <w:p>
            <w:pPr>
              <w:pStyle w:val="Style34"/>
              <w:snapToGrid w:val="false"/>
              <w:spacing w:before="40" w:after="40"/>
              <w:rPr>
                <w:sz w:val="23"/>
                <w:szCs w:val="23"/>
              </w:rPr>
            </w:pPr>
            <w:r>
              <w:rPr>
                <w:sz w:val="23"/>
                <w:szCs w:val="23"/>
              </w:rPr>
            </w:r>
          </w:p>
        </w:tc>
      </w:tr>
    </w:tbl>
    <w:p>
      <w:pPr>
        <w:pStyle w:val="Normal"/>
        <w:rPr>
          <w:sz w:val="26"/>
          <w:szCs w:val="26"/>
        </w:rPr>
      </w:pPr>
      <w:r>
        <w:rPr>
          <w:sz w:val="26"/>
          <w:szCs w:val="26"/>
        </w:rPr>
        <w:t>____________________________________</w:t>
      </w:r>
    </w:p>
    <w:p>
      <w:pPr>
        <w:pStyle w:val="Normal"/>
        <w:ind w:left="0" w:right="3684" w:hanging="0"/>
        <w:jc w:val="center"/>
        <w:rPr>
          <w:sz w:val="26"/>
          <w:szCs w:val="26"/>
          <w:vertAlign w:val="superscript"/>
        </w:rPr>
      </w:pPr>
      <w:r>
        <w:rPr>
          <w:sz w:val="26"/>
          <w:szCs w:val="26"/>
          <w:vertAlign w:val="superscript"/>
        </w:rPr>
        <w:t>(подпись, М.П.)</w:t>
      </w:r>
    </w:p>
    <w:p>
      <w:pPr>
        <w:pStyle w:val="Normal"/>
        <w:ind w:left="0" w:right="3684" w:hanging="0"/>
        <w:jc w:val="center"/>
        <w:rPr>
          <w:sz w:val="26"/>
          <w:szCs w:val="26"/>
        </w:rPr>
      </w:pPr>
      <w:r>
        <w:rPr>
          <w:sz w:val="26"/>
          <w:szCs w:val="26"/>
        </w:rPr>
        <w:t>________________________________</w:t>
      </w:r>
    </w:p>
    <w:p>
      <w:pPr>
        <w:pStyle w:val="Normal"/>
        <w:ind w:left="0" w:right="3684" w:hanging="0"/>
        <w:jc w:val="center"/>
        <w:rPr/>
      </w:pPr>
      <w:r>
        <w:rPr>
          <w:rStyle w:val="Style6"/>
          <w:rFonts w:cs="Times New Roman"/>
          <w:color w:val="000000"/>
          <w:sz w:val="26"/>
          <w:szCs w:val="26"/>
          <w:vertAlign w:val="superscript"/>
          <w:lang w:val="en-US"/>
        </w:rPr>
        <w:t>(фамилия, имя, отчество подписавшего, должность)</w:t>
      </w:r>
    </w:p>
    <w:sectPr>
      <w:type w:val="nextPage"/>
      <w:pgSz w:w="11906" w:h="16838"/>
      <w:pgMar w:left="1418" w:right="851" w:header="0" w:top="851" w:footer="0" w:bottom="993" w:gutter="0"/>
      <w:pgNumType w:fmt="decimal"/>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Courier New">
    <w:charset w:val="01"/>
    <w:family w:val="roman"/>
    <w:pitch w:val="variable"/>
  </w:font>
  <w:font w:name="Wingdings">
    <w:charset w:val="01"/>
    <w:family w:val="roman"/>
    <w:pitch w:val="variable"/>
  </w:font>
  <w:font w:name="Symbol">
    <w:charset w:val="01"/>
    <w:family w:val="roman"/>
    <w:pitch w:val="variable"/>
  </w:font>
  <w:font w:name="Tahoma">
    <w:charset w:val="01"/>
    <w:family w:val="roman"/>
    <w:pitch w:val="variable"/>
  </w:font>
  <w:font w:name="Calibri Light">
    <w:charset w:val="01"/>
    <w:family w:val="roman"/>
    <w:pitch w:val="variable"/>
  </w:font>
  <w:font w:name="Liberation Sans">
    <w:altName w:val="Arial"/>
    <w:charset w:val="01"/>
    <w:family w:val="roman"/>
    <w:pitch w:val="variable"/>
  </w:font>
  <w:font w:name="Verdana">
    <w:charset w:val="01"/>
    <w:family w:val="roman"/>
    <w:pitch w:val="variable"/>
  </w:font>
  <w:font w:name="Calibri">
    <w:charset w:val="01"/>
    <w:family w:val="roman"/>
    <w:pitch w:val="variable"/>
  </w:font>
  <w:font w:name="YS Text">
    <w:altName w:val="apple-system"/>
    <w:charset w:val="01"/>
    <w:family w:val="roman"/>
    <w:pitch w:val="variable"/>
  </w:font>
  <w:font w:name="verdana">
    <w:altName w:val="geneva"/>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pStyle w:val="1"/>
      <w:numFmt w:val="none"/>
      <w:suff w:val="nothing"/>
      <w:lvlText w:val=""/>
      <w:lvlJc w:val="left"/>
      <w:pPr>
        <w:ind w:left="0" w:hanging="0"/>
      </w:pPr>
    </w:lvl>
    <w:lvl w:ilvl="1">
      <w:start w:val="1"/>
      <w:pStyle w:val="2"/>
      <w:numFmt w:val="none"/>
      <w:suff w:val="nothing"/>
      <w:lvlText w:val=""/>
      <w:lvlJc w:val="left"/>
      <w:pPr>
        <w:ind w:left="0" w:hanging="0"/>
      </w:pPr>
    </w:lvl>
    <w:lvl w:ilvl="2">
      <w:start w:val="1"/>
      <w:pStyle w:val="3"/>
      <w:numFmt w:val="none"/>
      <w:suff w:val="nothing"/>
      <w:lvlText w:val=""/>
      <w:lvlJc w:val="left"/>
      <w:pPr>
        <w:ind w:left="0" w:hanging="0"/>
      </w:pPr>
    </w:lvl>
    <w:lvl w:ilvl="3">
      <w:start w:val="1"/>
      <w:pStyle w:val="4"/>
      <w:numFmt w:val="none"/>
      <w:suff w:val="nothing"/>
      <w:lvlText w:val=""/>
      <w:lvlJc w:val="left"/>
      <w:pPr>
        <w:ind w:left="0" w:hanging="0"/>
      </w:pPr>
    </w:lvl>
    <w:lvl w:ilvl="4">
      <w:start w:val="1"/>
      <w:pStyle w:val="5"/>
      <w:numFmt w:val="none"/>
      <w:suff w:val="nothing"/>
      <w:lvlText w:val=""/>
      <w:lvlJc w:val="left"/>
      <w:pPr>
        <w:ind w:left="0" w:hanging="0"/>
      </w:pPr>
    </w:lvl>
    <w:lvl w:ilvl="5">
      <w:start w:val="1"/>
      <w:pStyle w:val="6"/>
      <w:numFmt w:val="none"/>
      <w:suff w:val="nothing"/>
      <w:lvlText w:val=""/>
      <w:lvlJc w:val="left"/>
      <w:pPr>
        <w:ind w:left="0" w:hanging="0"/>
      </w:pPr>
    </w:lvl>
    <w:lvl w:ilvl="6">
      <w:start w:val="1"/>
      <w:pStyle w:val="7"/>
      <w:numFmt w:val="none"/>
      <w:suff w:val="nothing"/>
      <w:lvlText w:val=""/>
      <w:lvlJc w:val="left"/>
      <w:pPr>
        <w:ind w:left="0" w:hanging="0"/>
      </w:pPr>
    </w:lvl>
    <w:lvl w:ilvl="7">
      <w:start w:val="1"/>
      <w:pStyle w:val="8"/>
      <w:numFmt w:val="none"/>
      <w:suff w:val="nothing"/>
      <w:lvlText w:val=""/>
      <w:lvlJc w:val="left"/>
      <w:pPr>
        <w:ind w:left="0" w:hanging="0"/>
      </w:pPr>
    </w:lvl>
    <w:lvl w:ilvl="8">
      <w:start w:val="1"/>
      <w:pStyle w:val="9"/>
      <w:numFmt w:val="none"/>
      <w:suff w:val="nothing"/>
      <w:lvlText w:val=""/>
      <w:lvlJc w:val="left"/>
      <w:pPr>
        <w:ind w:left="0" w:hanging="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abstractNum w:abstractNumId="3">
    <w:lvl w:ilvl="0">
      <w:start w:val="1"/>
      <w:numFmt w:val="decimal"/>
      <w:lvlText w:val="%1."/>
      <w:lvlJc w:val="left"/>
      <w:pPr>
        <w:ind w:left="360" w:hanging="360"/>
      </w:pPr>
      <w:rPr>
        <w:i/>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1"/>
      <w:numFmt w:val="decimal"/>
      <w:lvlText w:val="%1."/>
      <w:lvlJc w:val="left"/>
      <w:pPr>
        <w:tabs>
          <w:tab w:val="num" w:pos="360"/>
        </w:tabs>
        <w:ind w:left="360" w:hanging="360"/>
      </w:pPr>
      <w:rPr>
        <w:sz w:val="23"/>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isplayBackgroundShape/>
  <w:defaultTabStop w:val="559"/>
  <w:autoHyphenation w:val="false"/>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Tahoma" w:cs="Lohit Devanagari"/>
        <w:sz w:val="20"/>
        <w:szCs w:val="24"/>
        <w:lang w:val="ru-RU" w:eastAsia="zh-CN" w:bidi="hi-IN"/>
      </w:rPr>
    </w:rPrDefault>
    <w:pPrDefault>
      <w:pPr/>
    </w:pPrDefault>
  </w:docDefaults>
  <w:style w:type="paragraph" w:styleId="Normal">
    <w:name w:val="Normal"/>
    <w:qFormat/>
    <w:pPr>
      <w:widowControl/>
      <w:suppressAutoHyphens w:val="true"/>
      <w:bidi w:val="0"/>
      <w:jc w:val="left"/>
    </w:pPr>
    <w:rPr>
      <w:rFonts w:ascii="Times New Roman" w:hAnsi="Times New Roman" w:eastAsia="Times New Roman" w:cs="Times New Roman"/>
      <w:color w:val="00000A"/>
      <w:sz w:val="24"/>
      <w:szCs w:val="24"/>
      <w:lang w:val="ru-RU" w:eastAsia="zh-CN" w:bidi="ar-SA"/>
    </w:rPr>
  </w:style>
  <w:style w:type="paragraph" w:styleId="1">
    <w:name w:val="Heading 1"/>
    <w:basedOn w:val="Normal"/>
    <w:next w:val="Normal"/>
    <w:qFormat/>
    <w:pPr>
      <w:keepNext w:val="true"/>
      <w:numPr>
        <w:ilvl w:val="0"/>
        <w:numId w:val="1"/>
      </w:numPr>
      <w:outlineLvl w:val="0"/>
    </w:pPr>
    <w:rPr>
      <w:b/>
      <w:bCs/>
    </w:rPr>
  </w:style>
  <w:style w:type="paragraph" w:styleId="2">
    <w:name w:val="Heading 2"/>
    <w:basedOn w:val="Normal"/>
    <w:next w:val="Normal"/>
    <w:qFormat/>
    <w:pPr>
      <w:keepNext w:val="true"/>
      <w:numPr>
        <w:ilvl w:val="1"/>
        <w:numId w:val="1"/>
      </w:numPr>
      <w:outlineLvl w:val="1"/>
    </w:pPr>
    <w:rPr>
      <w:b/>
      <w:bCs/>
      <w:i/>
      <w:iCs/>
    </w:rPr>
  </w:style>
  <w:style w:type="paragraph" w:styleId="3">
    <w:name w:val="Heading 3"/>
    <w:basedOn w:val="Normal"/>
    <w:next w:val="Normal"/>
    <w:qFormat/>
    <w:pPr>
      <w:keepNext w:val="true"/>
      <w:numPr>
        <w:ilvl w:val="2"/>
        <w:numId w:val="1"/>
      </w:numPr>
      <w:ind w:left="0" w:right="141" w:hanging="0"/>
      <w:jc w:val="center"/>
      <w:outlineLvl w:val="2"/>
    </w:pPr>
    <w:rPr>
      <w:sz w:val="28"/>
      <w:szCs w:val="20"/>
    </w:rPr>
  </w:style>
  <w:style w:type="paragraph" w:styleId="4">
    <w:name w:val="Heading 4"/>
    <w:basedOn w:val="Normal"/>
    <w:next w:val="Normal"/>
    <w:qFormat/>
    <w:pPr>
      <w:keepNext w:val="true"/>
      <w:numPr>
        <w:ilvl w:val="3"/>
        <w:numId w:val="1"/>
      </w:numPr>
      <w:jc w:val="center"/>
      <w:outlineLvl w:val="3"/>
    </w:pPr>
    <w:rPr>
      <w:b/>
      <w:bCs/>
    </w:rPr>
  </w:style>
  <w:style w:type="paragraph" w:styleId="5">
    <w:name w:val="Heading 5"/>
    <w:basedOn w:val="Normal"/>
    <w:next w:val="Normal"/>
    <w:qFormat/>
    <w:pPr>
      <w:keepNext w:val="true"/>
      <w:numPr>
        <w:ilvl w:val="4"/>
        <w:numId w:val="1"/>
      </w:numPr>
      <w:jc w:val="center"/>
      <w:outlineLvl w:val="4"/>
    </w:pPr>
    <w:rPr>
      <w:b/>
      <w:bCs/>
      <w:color w:val="000000"/>
      <w:sz w:val="28"/>
    </w:rPr>
  </w:style>
  <w:style w:type="paragraph" w:styleId="6">
    <w:name w:val="Heading 6"/>
    <w:basedOn w:val="Normal"/>
    <w:next w:val="Normal"/>
    <w:qFormat/>
    <w:pPr>
      <w:keepNext w:val="true"/>
      <w:numPr>
        <w:ilvl w:val="5"/>
        <w:numId w:val="1"/>
      </w:numPr>
      <w:jc w:val="center"/>
      <w:outlineLvl w:val="5"/>
    </w:pPr>
    <w:rPr>
      <w:rFonts w:ascii="Arial" w:hAnsi="Arial" w:cs="Arial"/>
      <w:b/>
      <w:bCs/>
      <w:sz w:val="20"/>
      <w:szCs w:val="20"/>
    </w:rPr>
  </w:style>
  <w:style w:type="paragraph" w:styleId="7">
    <w:name w:val="Heading 7"/>
    <w:basedOn w:val="Normal"/>
    <w:qFormat/>
    <w:pPr>
      <w:numPr>
        <w:ilvl w:val="6"/>
        <w:numId w:val="1"/>
      </w:numPr>
      <w:spacing w:before="240" w:after="60"/>
      <w:outlineLvl w:val="6"/>
    </w:pPr>
    <w:rPr>
      <w:rFonts w:ascii="Arial" w:hAnsi="Arial" w:cs="Arial"/>
      <w:sz w:val="20"/>
      <w:szCs w:val="20"/>
    </w:rPr>
  </w:style>
  <w:style w:type="paragraph" w:styleId="8">
    <w:name w:val="Heading 8"/>
    <w:basedOn w:val="Normal"/>
    <w:next w:val="Normal"/>
    <w:qFormat/>
    <w:pPr>
      <w:keepNext w:val="true"/>
      <w:numPr>
        <w:ilvl w:val="7"/>
        <w:numId w:val="1"/>
      </w:numPr>
      <w:outlineLvl w:val="7"/>
    </w:pPr>
    <w:rPr>
      <w:b/>
      <w:bCs/>
      <w:sz w:val="16"/>
      <w:szCs w:val="16"/>
    </w:rPr>
  </w:style>
  <w:style w:type="paragraph" w:styleId="9">
    <w:name w:val="Heading 9"/>
    <w:basedOn w:val="Normal"/>
    <w:qFormat/>
    <w:pPr>
      <w:keepNext w:val="true"/>
      <w:numPr>
        <w:ilvl w:val="8"/>
        <w:numId w:val="1"/>
      </w:numPr>
      <w:jc w:val="both"/>
      <w:outlineLvl w:val="8"/>
    </w:pPr>
    <w:rPr>
      <w:szCs w:val="20"/>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b/>
      <w:i/>
    </w:rPr>
  </w:style>
  <w:style w:type="character" w:styleId="WW8Num3z0">
    <w:name w:val="WW8Num3z0"/>
    <w:qFormat/>
    <w:rPr>
      <w:sz w:val="24"/>
      <w:szCs w:val="24"/>
    </w:rPr>
  </w:style>
  <w:style w:type="character" w:styleId="WW8Num4z0">
    <w:name w:val="WW8Num4z0"/>
    <w:qFormat/>
    <w:rPr>
      <w:b/>
      <w:color w:val="000000"/>
    </w:rPr>
  </w:style>
  <w:style w:type="character" w:styleId="WW8Num4z1">
    <w:name w:val="WW8Num4z1"/>
    <w:qFormat/>
    <w:rPr/>
  </w:style>
  <w:style w:type="character" w:styleId="WW8Num2z1">
    <w:name w:val="WW8Num2z1"/>
    <w:qFormat/>
    <w:rPr>
      <w:rFonts w:ascii="Courier New" w:hAnsi="Courier New" w:cs="Courier New"/>
    </w:rPr>
  </w:style>
  <w:style w:type="character" w:styleId="WW8Num2z2">
    <w:name w:val="WW8Num2z2"/>
    <w:qFormat/>
    <w:rPr>
      <w:rFonts w:ascii="Wingdings" w:hAnsi="Wingdings" w:cs="Wingdings"/>
    </w:rPr>
  </w:style>
  <w:style w:type="character" w:styleId="WW8Num3z1">
    <w:name w:val="WW8Num3z1"/>
    <w:qFormat/>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WW8Num4z2">
    <w:name w:val="WW8Num4z2"/>
    <w:qFormat/>
    <w:rPr/>
  </w:style>
  <w:style w:type="character" w:styleId="WW8Num4z3">
    <w:name w:val="WW8Num4z3"/>
    <w:qFormat/>
    <w:rPr/>
  </w:style>
  <w:style w:type="character" w:styleId="WW8Num4z4">
    <w:name w:val="WW8Num4z4"/>
    <w:qFormat/>
    <w:rPr/>
  </w:style>
  <w:style w:type="character" w:styleId="WW8Num4z5">
    <w:name w:val="WW8Num4z5"/>
    <w:qFormat/>
    <w:rPr/>
  </w:style>
  <w:style w:type="character" w:styleId="WW8Num4z6">
    <w:name w:val="WW8Num4z6"/>
    <w:qFormat/>
    <w:rPr/>
  </w:style>
  <w:style w:type="character" w:styleId="WW8Num4z7">
    <w:name w:val="WW8Num4z7"/>
    <w:qFormat/>
    <w:rPr/>
  </w:style>
  <w:style w:type="character" w:styleId="WW8Num4z8">
    <w:name w:val="WW8Num4z8"/>
    <w:qFormat/>
    <w:rPr/>
  </w:style>
  <w:style w:type="character" w:styleId="WW8Num5z0">
    <w:name w:val="WW8Num5z0"/>
    <w:qFormat/>
    <w:rPr>
      <w:b/>
      <w:color w:val="000000"/>
    </w:rPr>
  </w:style>
  <w:style w:type="character" w:styleId="WW8Num5z1">
    <w:name w:val="WW8Num5z1"/>
    <w:qFormat/>
    <w:rPr/>
  </w:style>
  <w:style w:type="character" w:styleId="WW8Num6z0">
    <w:name w:val="WW8Num6z0"/>
    <w:qFormat/>
    <w:rPr>
      <w:b/>
      <w:color w:val="000000"/>
    </w:rPr>
  </w:style>
  <w:style w:type="character" w:styleId="WW8Num6z1">
    <w:name w:val="WW8Num6z1"/>
    <w:qFormat/>
    <w:rPr/>
  </w:style>
  <w:style w:type="character" w:styleId="WW8Num6z2">
    <w:name w:val="WW8Num6z2"/>
    <w:qFormat/>
    <w:rPr/>
  </w:style>
  <w:style w:type="character" w:styleId="WW8Num6z3">
    <w:name w:val="WW8Num6z3"/>
    <w:qFormat/>
    <w:rPr/>
  </w:style>
  <w:style w:type="character" w:styleId="WW8Num6z4">
    <w:name w:val="WW8Num6z4"/>
    <w:qFormat/>
    <w:rPr/>
  </w:style>
  <w:style w:type="character" w:styleId="WW8Num6z5">
    <w:name w:val="WW8Num6z5"/>
    <w:qFormat/>
    <w:rPr/>
  </w:style>
  <w:style w:type="character" w:styleId="WW8Num6z6">
    <w:name w:val="WW8Num6z6"/>
    <w:qFormat/>
    <w:rPr/>
  </w:style>
  <w:style w:type="character" w:styleId="WW8Num6z7">
    <w:name w:val="WW8Num6z7"/>
    <w:qFormat/>
    <w:rPr/>
  </w:style>
  <w:style w:type="character" w:styleId="WW8Num6z8">
    <w:name w:val="WW8Num6z8"/>
    <w:qFormat/>
    <w:rPr/>
  </w:style>
  <w:style w:type="character" w:styleId="WW8Num7z0">
    <w:name w:val="WW8Num7z0"/>
    <w:qFormat/>
    <w:rPr>
      <w:b/>
      <w:color w:val="000000"/>
    </w:rPr>
  </w:style>
  <w:style w:type="character" w:styleId="WW8Num7z1">
    <w:name w:val="WW8Num7z1"/>
    <w:qFormat/>
    <w:rPr/>
  </w:style>
  <w:style w:type="character" w:styleId="WW8Num7z2">
    <w:name w:val="WW8Num7z2"/>
    <w:qFormat/>
    <w:rPr/>
  </w:style>
  <w:style w:type="character" w:styleId="WW8Num7z3">
    <w:name w:val="WW8Num7z3"/>
    <w:qFormat/>
    <w:rPr/>
  </w:style>
  <w:style w:type="character" w:styleId="WW8Num7z4">
    <w:name w:val="WW8Num7z4"/>
    <w:qFormat/>
    <w:rPr/>
  </w:style>
  <w:style w:type="character" w:styleId="WW8Num7z5">
    <w:name w:val="WW8Num7z5"/>
    <w:qFormat/>
    <w:rPr/>
  </w:style>
  <w:style w:type="character" w:styleId="WW8Num7z6">
    <w:name w:val="WW8Num7z6"/>
    <w:qFormat/>
    <w:rPr/>
  </w:style>
  <w:style w:type="character" w:styleId="WW8Num7z7">
    <w:name w:val="WW8Num7z7"/>
    <w:qFormat/>
    <w:rPr/>
  </w:style>
  <w:style w:type="character" w:styleId="WW8Num7z8">
    <w:name w:val="WW8Num7z8"/>
    <w:qFormat/>
    <w:rPr/>
  </w:style>
  <w:style w:type="character" w:styleId="WW8Num8z0">
    <w:name w:val="WW8Num8z0"/>
    <w:qFormat/>
    <w:rPr>
      <w:rFonts w:ascii="Symbol" w:hAnsi="Symbol" w:cs="Symbol"/>
    </w:rPr>
  </w:style>
  <w:style w:type="character" w:styleId="WW8Num8z1">
    <w:name w:val="WW8Num8z1"/>
    <w:qFormat/>
    <w:rPr>
      <w:rFonts w:ascii="Courier New" w:hAnsi="Courier New" w:cs="Courier New"/>
    </w:rPr>
  </w:style>
  <w:style w:type="character" w:styleId="WW8Num8z2">
    <w:name w:val="WW8Num8z2"/>
    <w:qFormat/>
    <w:rPr>
      <w:rFonts w:ascii="Wingdings" w:hAnsi="Wingdings" w:cs="Wingdings"/>
    </w:rPr>
  </w:style>
  <w:style w:type="character" w:styleId="WW8Num9z0">
    <w:name w:val="WW8Num9z0"/>
    <w:qFormat/>
    <w:rPr>
      <w:rFonts w:ascii="Symbol" w:hAnsi="Symbol" w:cs="Symbol"/>
    </w:rPr>
  </w:style>
  <w:style w:type="character" w:styleId="WW8Num9z1">
    <w:name w:val="WW8Num9z1"/>
    <w:qFormat/>
    <w:rPr>
      <w:rFonts w:ascii="Courier New" w:hAnsi="Courier New" w:cs="Courier New"/>
    </w:rPr>
  </w:style>
  <w:style w:type="character" w:styleId="WW8Num9z2">
    <w:name w:val="WW8Num9z2"/>
    <w:qFormat/>
    <w:rPr>
      <w:rFonts w:ascii="Wingdings" w:hAnsi="Wingdings" w:cs="Wingdings"/>
    </w:rPr>
  </w:style>
  <w:style w:type="character" w:styleId="WW8Num10z0">
    <w:name w:val="WW8Num10z0"/>
    <w:qFormat/>
    <w:rPr>
      <w:rFonts w:ascii="Symbol" w:hAnsi="Symbol" w:cs="Symbol"/>
    </w:rPr>
  </w:style>
  <w:style w:type="character" w:styleId="WW8Num10z1">
    <w:name w:val="WW8Num10z1"/>
    <w:qFormat/>
    <w:rPr>
      <w:rFonts w:ascii="Courier New" w:hAnsi="Courier New" w:cs="Courier New"/>
    </w:rPr>
  </w:style>
  <w:style w:type="character" w:styleId="WW8Num10z2">
    <w:name w:val="WW8Num10z2"/>
    <w:qFormat/>
    <w:rPr>
      <w:rFonts w:ascii="Wingdings" w:hAnsi="Wingdings" w:cs="Wingdings"/>
    </w:rPr>
  </w:style>
  <w:style w:type="character" w:styleId="WW8Num11z0">
    <w:name w:val="WW8Num11z0"/>
    <w:qFormat/>
    <w:rPr>
      <w:b/>
      <w:i/>
    </w:rPr>
  </w:style>
  <w:style w:type="character" w:styleId="WW8Num11z1">
    <w:name w:val="WW8Num11z1"/>
    <w:qFormat/>
    <w:rPr/>
  </w:style>
  <w:style w:type="character" w:styleId="WW8Num11z2">
    <w:name w:val="WW8Num11z2"/>
    <w:qFormat/>
    <w:rPr/>
  </w:style>
  <w:style w:type="character" w:styleId="WW8Num11z3">
    <w:name w:val="WW8Num11z3"/>
    <w:qFormat/>
    <w:rPr/>
  </w:style>
  <w:style w:type="character" w:styleId="WW8Num11z4">
    <w:name w:val="WW8Num11z4"/>
    <w:qFormat/>
    <w:rPr/>
  </w:style>
  <w:style w:type="character" w:styleId="WW8Num11z5">
    <w:name w:val="WW8Num11z5"/>
    <w:qFormat/>
    <w:rPr/>
  </w:style>
  <w:style w:type="character" w:styleId="WW8Num11z6">
    <w:name w:val="WW8Num11z6"/>
    <w:qFormat/>
    <w:rPr/>
  </w:style>
  <w:style w:type="character" w:styleId="WW8Num11z7">
    <w:name w:val="WW8Num11z7"/>
    <w:qFormat/>
    <w:rPr/>
  </w:style>
  <w:style w:type="character" w:styleId="WW8Num11z8">
    <w:name w:val="WW8Num11z8"/>
    <w:qFormat/>
    <w:rPr/>
  </w:style>
  <w:style w:type="character" w:styleId="WW8Num12z0">
    <w:name w:val="WW8Num12z0"/>
    <w:qFormat/>
    <w:rPr>
      <w:b/>
      <w:color w:val="000000"/>
    </w:rPr>
  </w:style>
  <w:style w:type="character" w:styleId="WW8Num12z1">
    <w:name w:val="WW8Num12z1"/>
    <w:qFormat/>
    <w:rPr/>
  </w:style>
  <w:style w:type="character" w:styleId="WW8Num12z2">
    <w:name w:val="WW8Num12z2"/>
    <w:qFormat/>
    <w:rPr/>
  </w:style>
  <w:style w:type="character" w:styleId="WW8Num12z3">
    <w:name w:val="WW8Num12z3"/>
    <w:qFormat/>
    <w:rPr/>
  </w:style>
  <w:style w:type="character" w:styleId="WW8Num12z4">
    <w:name w:val="WW8Num12z4"/>
    <w:qFormat/>
    <w:rPr/>
  </w:style>
  <w:style w:type="character" w:styleId="WW8Num12z5">
    <w:name w:val="WW8Num12z5"/>
    <w:qFormat/>
    <w:rPr/>
  </w:style>
  <w:style w:type="character" w:styleId="WW8Num12z6">
    <w:name w:val="WW8Num12z6"/>
    <w:qFormat/>
    <w:rPr/>
  </w:style>
  <w:style w:type="character" w:styleId="WW8Num12z7">
    <w:name w:val="WW8Num12z7"/>
    <w:qFormat/>
    <w:rPr/>
  </w:style>
  <w:style w:type="character" w:styleId="WW8Num12z8">
    <w:name w:val="WW8Num12z8"/>
    <w:qFormat/>
    <w:rPr/>
  </w:style>
  <w:style w:type="character" w:styleId="WW8Num13z0">
    <w:name w:val="WW8Num13z0"/>
    <w:qFormat/>
    <w:rPr>
      <w:b/>
      <w:i w:val="false"/>
    </w:rPr>
  </w:style>
  <w:style w:type="character" w:styleId="WW8Num13z1">
    <w:name w:val="WW8Num13z1"/>
    <w:qFormat/>
    <w:rPr/>
  </w:style>
  <w:style w:type="character" w:styleId="WW8Num13z2">
    <w:name w:val="WW8Num13z2"/>
    <w:qFormat/>
    <w:rPr/>
  </w:style>
  <w:style w:type="character" w:styleId="WW8Num13z3">
    <w:name w:val="WW8Num13z3"/>
    <w:qFormat/>
    <w:rPr/>
  </w:style>
  <w:style w:type="character" w:styleId="WW8Num13z4">
    <w:name w:val="WW8Num13z4"/>
    <w:qFormat/>
    <w:rPr/>
  </w:style>
  <w:style w:type="character" w:styleId="WW8Num13z5">
    <w:name w:val="WW8Num13z5"/>
    <w:qFormat/>
    <w:rPr/>
  </w:style>
  <w:style w:type="character" w:styleId="WW8Num13z6">
    <w:name w:val="WW8Num13z6"/>
    <w:qFormat/>
    <w:rPr/>
  </w:style>
  <w:style w:type="character" w:styleId="WW8Num13z7">
    <w:name w:val="WW8Num13z7"/>
    <w:qFormat/>
    <w:rPr/>
  </w:style>
  <w:style w:type="character" w:styleId="WW8Num13z8">
    <w:name w:val="WW8Num13z8"/>
    <w:qFormat/>
    <w:rPr/>
  </w:style>
  <w:style w:type="character" w:styleId="WW8Num14z0">
    <w:name w:val="WW8Num14z0"/>
    <w:qFormat/>
    <w:rPr>
      <w:rFonts w:ascii="Symbol" w:hAnsi="Symbol" w:cs="Symbol"/>
    </w:rPr>
  </w:style>
  <w:style w:type="character" w:styleId="WW8Num14z1">
    <w:name w:val="WW8Num14z1"/>
    <w:qFormat/>
    <w:rPr>
      <w:rFonts w:ascii="Courier New" w:hAnsi="Courier New" w:cs="Courier New"/>
    </w:rPr>
  </w:style>
  <w:style w:type="character" w:styleId="WW8Num14z2">
    <w:name w:val="WW8Num14z2"/>
    <w:qFormat/>
    <w:rPr>
      <w:rFonts w:ascii="Wingdings" w:hAnsi="Wingdings" w:cs="Wingdings"/>
    </w:rPr>
  </w:style>
  <w:style w:type="character" w:styleId="WW8Num15z0">
    <w:name w:val="WW8Num15z0"/>
    <w:qFormat/>
    <w:rPr>
      <w:rFonts w:ascii="Symbol" w:hAnsi="Symbol" w:cs="Symbol"/>
    </w:rPr>
  </w:style>
  <w:style w:type="character" w:styleId="WW8Num15z1">
    <w:name w:val="WW8Num15z1"/>
    <w:qFormat/>
    <w:rPr>
      <w:rFonts w:ascii="Courier New" w:hAnsi="Courier New" w:cs="Courier New"/>
    </w:rPr>
  </w:style>
  <w:style w:type="character" w:styleId="WW8Num15z2">
    <w:name w:val="WW8Num15z2"/>
    <w:qFormat/>
    <w:rPr>
      <w:rFonts w:ascii="Wingdings" w:hAnsi="Wingdings" w:cs="Wingdings"/>
    </w:rPr>
  </w:style>
  <w:style w:type="character" w:styleId="WW8Num16z0">
    <w:name w:val="WW8Num16z0"/>
    <w:qFormat/>
    <w:rPr>
      <w:rFonts w:ascii="Symbol" w:hAnsi="Symbol" w:cs="Symbol"/>
    </w:rPr>
  </w:style>
  <w:style w:type="character" w:styleId="WW8Num16z1">
    <w:name w:val="WW8Num16z1"/>
    <w:qFormat/>
    <w:rPr>
      <w:rFonts w:ascii="Courier New" w:hAnsi="Courier New" w:cs="Courier New"/>
    </w:rPr>
  </w:style>
  <w:style w:type="character" w:styleId="WW8Num16z2">
    <w:name w:val="WW8Num16z2"/>
    <w:qFormat/>
    <w:rPr>
      <w:rFonts w:ascii="Wingdings" w:hAnsi="Wingdings" w:cs="Wingdings"/>
    </w:rPr>
  </w:style>
  <w:style w:type="character" w:styleId="WW8Num17z0">
    <w:name w:val="WW8Num17z0"/>
    <w:qFormat/>
    <w:rPr>
      <w:b/>
      <w:color w:val="000000"/>
    </w:rPr>
  </w:style>
  <w:style w:type="character" w:styleId="WW8Num17z1">
    <w:name w:val="WW8Num17z1"/>
    <w:qFormat/>
    <w:rPr/>
  </w:style>
  <w:style w:type="character" w:styleId="WW8Num17z2">
    <w:name w:val="WW8Num17z2"/>
    <w:qFormat/>
    <w:rPr/>
  </w:style>
  <w:style w:type="character" w:styleId="WW8Num17z3">
    <w:name w:val="WW8Num17z3"/>
    <w:qFormat/>
    <w:rPr/>
  </w:style>
  <w:style w:type="character" w:styleId="WW8Num17z4">
    <w:name w:val="WW8Num17z4"/>
    <w:qFormat/>
    <w:rPr/>
  </w:style>
  <w:style w:type="character" w:styleId="WW8Num17z5">
    <w:name w:val="WW8Num17z5"/>
    <w:qFormat/>
    <w:rPr/>
  </w:style>
  <w:style w:type="character" w:styleId="WW8Num17z6">
    <w:name w:val="WW8Num17z6"/>
    <w:qFormat/>
    <w:rPr/>
  </w:style>
  <w:style w:type="character" w:styleId="WW8Num17z7">
    <w:name w:val="WW8Num17z7"/>
    <w:qFormat/>
    <w:rPr/>
  </w:style>
  <w:style w:type="character" w:styleId="WW8Num17z8">
    <w:name w:val="WW8Num17z8"/>
    <w:qFormat/>
    <w:rPr/>
  </w:style>
  <w:style w:type="character" w:styleId="WW8Num18z0">
    <w:name w:val="WW8Num18z0"/>
    <w:qFormat/>
    <w:rPr>
      <w:b w:val="false"/>
    </w:rPr>
  </w:style>
  <w:style w:type="character" w:styleId="WW8Num19z0">
    <w:name w:val="WW8Num19z0"/>
    <w:qFormat/>
    <w:rPr>
      <w:b/>
      <w:color w:val="000000"/>
    </w:rPr>
  </w:style>
  <w:style w:type="character" w:styleId="WW8Num19z1">
    <w:name w:val="WW8Num19z1"/>
    <w:qFormat/>
    <w:rPr/>
  </w:style>
  <w:style w:type="character" w:styleId="WW8Num19z2">
    <w:name w:val="WW8Num19z2"/>
    <w:qFormat/>
    <w:rPr/>
  </w:style>
  <w:style w:type="character" w:styleId="WW8Num19z3">
    <w:name w:val="WW8Num19z3"/>
    <w:qFormat/>
    <w:rPr/>
  </w:style>
  <w:style w:type="character" w:styleId="WW8Num19z4">
    <w:name w:val="WW8Num19z4"/>
    <w:qFormat/>
    <w:rPr/>
  </w:style>
  <w:style w:type="character" w:styleId="WW8Num19z5">
    <w:name w:val="WW8Num19z5"/>
    <w:qFormat/>
    <w:rPr/>
  </w:style>
  <w:style w:type="character" w:styleId="WW8Num19z6">
    <w:name w:val="WW8Num19z6"/>
    <w:qFormat/>
    <w:rPr/>
  </w:style>
  <w:style w:type="character" w:styleId="WW8Num19z7">
    <w:name w:val="WW8Num19z7"/>
    <w:qFormat/>
    <w:rPr/>
  </w:style>
  <w:style w:type="character" w:styleId="WW8Num19z8">
    <w:name w:val="WW8Num19z8"/>
    <w:qFormat/>
    <w:rPr/>
  </w:style>
  <w:style w:type="character" w:styleId="WW8Num20z0">
    <w:name w:val="WW8Num20z0"/>
    <w:qFormat/>
    <w:rPr>
      <w:sz w:val="24"/>
      <w:szCs w:val="24"/>
    </w:rPr>
  </w:style>
  <w:style w:type="character" w:styleId="WW8Num21z0">
    <w:name w:val="WW8Num21z0"/>
    <w:qFormat/>
    <w:rPr/>
  </w:style>
  <w:style w:type="character" w:styleId="WW8Num21z1">
    <w:name w:val="WW8Num21z1"/>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0">
    <w:name w:val="WW8Num22z0"/>
    <w:qFormat/>
    <w:rPr>
      <w:b/>
      <w:color w:val="000000"/>
    </w:rPr>
  </w:style>
  <w:style w:type="character" w:styleId="WW8Num22z1">
    <w:name w:val="WW8Num22z1"/>
    <w:qFormat/>
    <w:rPr/>
  </w:style>
  <w:style w:type="character" w:styleId="WW8Num23z0">
    <w:name w:val="WW8Num23z0"/>
    <w:qFormat/>
    <w:rPr/>
  </w:style>
  <w:style w:type="character" w:styleId="WW8Num23z1">
    <w:name w:val="WW8Num23z1"/>
    <w:qFormat/>
    <w:rPr/>
  </w:style>
  <w:style w:type="character" w:styleId="WW8Num23z2">
    <w:name w:val="WW8Num23z2"/>
    <w:qFormat/>
    <w:rPr/>
  </w:style>
  <w:style w:type="character" w:styleId="WW8Num23z3">
    <w:name w:val="WW8Num23z3"/>
    <w:qFormat/>
    <w:rPr/>
  </w:style>
  <w:style w:type="character" w:styleId="WW8Num23z4">
    <w:name w:val="WW8Num23z4"/>
    <w:qFormat/>
    <w:rPr/>
  </w:style>
  <w:style w:type="character" w:styleId="WW8Num23z5">
    <w:name w:val="WW8Num23z5"/>
    <w:qFormat/>
    <w:rPr/>
  </w:style>
  <w:style w:type="character" w:styleId="WW8Num23z6">
    <w:name w:val="WW8Num23z6"/>
    <w:qFormat/>
    <w:rPr/>
  </w:style>
  <w:style w:type="character" w:styleId="WW8Num23z7">
    <w:name w:val="WW8Num23z7"/>
    <w:qFormat/>
    <w:rPr/>
  </w:style>
  <w:style w:type="character" w:styleId="WW8Num23z8">
    <w:name w:val="WW8Num23z8"/>
    <w:qFormat/>
    <w:rPr/>
  </w:style>
  <w:style w:type="character" w:styleId="Style5">
    <w:name w:val="Основной шрифт абзаца"/>
    <w:qFormat/>
    <w:rPr/>
  </w:style>
  <w:style w:type="character" w:styleId="21">
    <w:name w:val="Заголовок 2 Знак"/>
    <w:qFormat/>
    <w:rPr>
      <w:b/>
      <w:bCs/>
      <w:i/>
      <w:iCs/>
      <w:sz w:val="24"/>
      <w:szCs w:val="24"/>
    </w:rPr>
  </w:style>
  <w:style w:type="character" w:styleId="31">
    <w:name w:val="Заголовок 3 Знак"/>
    <w:qFormat/>
    <w:rPr>
      <w:sz w:val="28"/>
    </w:rPr>
  </w:style>
  <w:style w:type="character" w:styleId="41">
    <w:name w:val="Заголовок 4 Знак"/>
    <w:qFormat/>
    <w:rPr>
      <w:b/>
      <w:bCs/>
      <w:sz w:val="24"/>
      <w:szCs w:val="24"/>
    </w:rPr>
  </w:style>
  <w:style w:type="character" w:styleId="51">
    <w:name w:val="Заголовок 5 Знак"/>
    <w:qFormat/>
    <w:rPr>
      <w:b/>
      <w:bCs/>
      <w:color w:val="000000"/>
      <w:sz w:val="28"/>
      <w:szCs w:val="24"/>
    </w:rPr>
  </w:style>
  <w:style w:type="character" w:styleId="61">
    <w:name w:val="Заголовок 6 Знак"/>
    <w:qFormat/>
    <w:rPr>
      <w:rFonts w:ascii="Arial" w:hAnsi="Arial" w:cs="Arial"/>
      <w:b/>
      <w:bCs/>
    </w:rPr>
  </w:style>
  <w:style w:type="character" w:styleId="71">
    <w:name w:val="Заголовок 7 Знак"/>
    <w:qFormat/>
    <w:rPr>
      <w:rFonts w:ascii="Arial" w:hAnsi="Arial" w:cs="Arial"/>
    </w:rPr>
  </w:style>
  <w:style w:type="character" w:styleId="81">
    <w:name w:val="Заголовок 8 Знак"/>
    <w:qFormat/>
    <w:rPr>
      <w:b/>
      <w:bCs/>
      <w:sz w:val="16"/>
      <w:szCs w:val="16"/>
    </w:rPr>
  </w:style>
  <w:style w:type="character" w:styleId="91">
    <w:name w:val="Заголовок 9 Знак"/>
    <w:qFormat/>
    <w:rPr>
      <w:sz w:val="24"/>
    </w:rPr>
  </w:style>
  <w:style w:type="character" w:styleId="Style6">
    <w:name w:val="Интернет-ссылка"/>
    <w:rPr>
      <w:color w:val="0000FF"/>
      <w:u w:val="single"/>
    </w:rPr>
  </w:style>
  <w:style w:type="character" w:styleId="Style7">
    <w:name w:val="Посещённая гиперссылка"/>
    <w:rPr>
      <w:color w:val="800080"/>
      <w:u w:val="single"/>
    </w:rPr>
  </w:style>
  <w:style w:type="character" w:styleId="22">
    <w:name w:val="Основной текст 2 Знак"/>
    <w:qFormat/>
    <w:rPr>
      <w:sz w:val="24"/>
      <w:szCs w:val="24"/>
    </w:rPr>
  </w:style>
  <w:style w:type="character" w:styleId="Style8">
    <w:name w:val="комментарий"/>
    <w:qFormat/>
    <w:rPr>
      <w:i/>
      <w:shd w:fill="FFFF99" w:val="clear"/>
    </w:rPr>
  </w:style>
  <w:style w:type="character" w:styleId="Style9">
    <w:name w:val="Верхний колонтитул Знак"/>
    <w:qFormat/>
    <w:rPr/>
  </w:style>
  <w:style w:type="character" w:styleId="11">
    <w:name w:val="Пункт Знак1"/>
    <w:qFormat/>
    <w:rPr>
      <w:sz w:val="28"/>
    </w:rPr>
  </w:style>
  <w:style w:type="character" w:styleId="FontStyle36">
    <w:name w:val="Font Style36"/>
    <w:qFormat/>
    <w:rPr>
      <w:rFonts w:ascii="Times New Roman" w:hAnsi="Times New Roman" w:cs="Times New Roman"/>
      <w:sz w:val="22"/>
      <w:szCs w:val="22"/>
    </w:rPr>
  </w:style>
  <w:style w:type="character" w:styleId="FontStyle32">
    <w:name w:val="Font Style32"/>
    <w:qFormat/>
    <w:rPr>
      <w:rFonts w:ascii="Times New Roman" w:hAnsi="Times New Roman" w:cs="Times New Roman"/>
      <w:b/>
      <w:bCs/>
      <w:sz w:val="22"/>
      <w:szCs w:val="22"/>
    </w:rPr>
  </w:style>
  <w:style w:type="character" w:styleId="23">
    <w:name w:val="= Заголовок 2 = Знак Знак"/>
    <w:qFormat/>
    <w:rPr>
      <w:b/>
      <w:color w:val="000000"/>
      <w:sz w:val="26"/>
      <w:szCs w:val="26"/>
    </w:rPr>
  </w:style>
  <w:style w:type="character" w:styleId="Style10">
    <w:name w:val="Абзац списка Знак"/>
    <w:qFormat/>
    <w:rPr>
      <w:rFonts w:ascii="Times New Roman" w:hAnsi="Times New Roman" w:eastAsia="Times New Roman" w:cs="Times New Roman"/>
      <w:sz w:val="20"/>
      <w:szCs w:val="20"/>
    </w:rPr>
  </w:style>
  <w:style w:type="character" w:styleId="12">
    <w:name w:val="Заголовок 1 Знак"/>
    <w:qFormat/>
    <w:rPr>
      <w:rFonts w:ascii="Times New Roman" w:hAnsi="Times New Roman" w:eastAsia="Times New Roman" w:cs="Times New Roman"/>
      <w:b/>
      <w:bCs/>
      <w:sz w:val="48"/>
      <w:szCs w:val="48"/>
    </w:rPr>
  </w:style>
  <w:style w:type="character" w:styleId="WW">
    <w:name w:val="WW-Интернет-ссылка"/>
    <w:qFormat/>
    <w:rPr>
      <w:color w:val="0000FF"/>
      <w:u w:val="single"/>
    </w:rPr>
  </w:style>
  <w:style w:type="character" w:styleId="Appleconvertedspace">
    <w:name w:val="apple-converted-space"/>
    <w:qFormat/>
    <w:rPr/>
  </w:style>
  <w:style w:type="character" w:styleId="Style11">
    <w:name w:val="Заголовок Знак"/>
    <w:qFormat/>
    <w:rPr>
      <w:rFonts w:ascii="Arial" w:hAnsi="Arial" w:eastAsia="Times New Roman" w:cs="Times New Roman"/>
      <w:b/>
      <w:sz w:val="32"/>
      <w:szCs w:val="20"/>
    </w:rPr>
  </w:style>
  <w:style w:type="character" w:styleId="Style12">
    <w:name w:val="Основной текст Знак"/>
    <w:qFormat/>
    <w:rPr>
      <w:rFonts w:ascii="Times New Roman" w:hAnsi="Times New Roman" w:eastAsia="Times New Roman" w:cs="Times New Roman"/>
      <w:sz w:val="20"/>
      <w:szCs w:val="20"/>
    </w:rPr>
  </w:style>
  <w:style w:type="character" w:styleId="Style13">
    <w:name w:val="Основной текст с отступом Знак"/>
    <w:qFormat/>
    <w:rPr>
      <w:rFonts w:ascii="Times New Roman" w:hAnsi="Times New Roman" w:eastAsia="Times New Roman" w:cs="Times New Roman"/>
      <w:sz w:val="20"/>
      <w:szCs w:val="20"/>
    </w:rPr>
  </w:style>
  <w:style w:type="character" w:styleId="Style14">
    <w:name w:val="Подзаголовок Знак"/>
    <w:qFormat/>
    <w:rPr>
      <w:rFonts w:ascii="Arial" w:hAnsi="Arial" w:eastAsia="Times New Roman" w:cs="Times New Roman"/>
      <w:sz w:val="24"/>
      <w:szCs w:val="20"/>
    </w:rPr>
  </w:style>
  <w:style w:type="character" w:styleId="Style15">
    <w:name w:val="Подпись Знак"/>
    <w:qFormat/>
    <w:rPr>
      <w:rFonts w:ascii="Times New Roman" w:hAnsi="Times New Roman" w:eastAsia="Times New Roman" w:cs="Times New Roman"/>
      <w:sz w:val="20"/>
      <w:szCs w:val="20"/>
    </w:rPr>
  </w:style>
  <w:style w:type="character" w:styleId="32">
    <w:name w:val="Маркированный список 3 Знак"/>
    <w:qFormat/>
    <w:rPr>
      <w:sz w:val="24"/>
    </w:rPr>
  </w:style>
  <w:style w:type="character" w:styleId="33">
    <w:name w:val="Основной текст 3 Знак"/>
    <w:qFormat/>
    <w:rPr>
      <w:rFonts w:ascii="Times New Roman" w:hAnsi="Times New Roman" w:eastAsia="Times New Roman" w:cs="Times New Roman"/>
      <w:sz w:val="24"/>
      <w:szCs w:val="20"/>
    </w:rPr>
  </w:style>
  <w:style w:type="character" w:styleId="24">
    <w:name w:val="Основной текст с отступом 2 Знак"/>
    <w:qFormat/>
    <w:rPr>
      <w:rFonts w:ascii="Times New Roman" w:hAnsi="Times New Roman" w:eastAsia="Times New Roman" w:cs="Times New Roman"/>
      <w:sz w:val="24"/>
      <w:szCs w:val="20"/>
    </w:rPr>
  </w:style>
  <w:style w:type="character" w:styleId="HTML">
    <w:name w:val="Стандартный HTML Знак"/>
    <w:qFormat/>
    <w:rPr>
      <w:rFonts w:ascii="Courier New" w:hAnsi="Courier New" w:eastAsia="Times New Roman" w:cs="Courier New"/>
      <w:sz w:val="20"/>
      <w:szCs w:val="20"/>
    </w:rPr>
  </w:style>
  <w:style w:type="character" w:styleId="ListLabel1">
    <w:name w:val="ListLabel 1"/>
    <w:qFormat/>
    <w:rPr>
      <w:b/>
      <w:sz w:val="20"/>
    </w:rPr>
  </w:style>
  <w:style w:type="character" w:styleId="ListLabel2">
    <w:name w:val="ListLabel 2"/>
    <w:qFormat/>
    <w:rPr>
      <w:b w:val="false"/>
    </w:rPr>
  </w:style>
  <w:style w:type="character" w:styleId="ListLabel3">
    <w:name w:val="ListLabel 3"/>
    <w:qFormat/>
    <w:rPr>
      <w:rFonts w:cs="Times New Roman"/>
    </w:rPr>
  </w:style>
  <w:style w:type="character" w:styleId="ListLabel4">
    <w:name w:val="ListLabel 4"/>
    <w:qFormat/>
    <w:rPr>
      <w:rFonts w:cs="Calibri"/>
    </w:rPr>
  </w:style>
  <w:style w:type="character" w:styleId="ListLabel5">
    <w:name w:val="ListLabel 5"/>
    <w:qFormat/>
    <w:rPr>
      <w:rFonts w:cs="Calibri"/>
    </w:rPr>
  </w:style>
  <w:style w:type="character" w:styleId="ListLabel6">
    <w:name w:val="ListLabel 6"/>
    <w:qFormat/>
    <w:rPr>
      <w:caps w:val="false"/>
      <w:smallCaps w:val="false"/>
      <w:strike w:val="false"/>
      <w:dstrike w:val="false"/>
      <w:vanish w:val="false"/>
      <w:position w:val="0"/>
      <w:sz w:val="28"/>
      <w:sz w:val="28"/>
      <w:u w:val="none"/>
      <w:vertAlign w:val="baseline"/>
    </w:rPr>
  </w:style>
  <w:style w:type="character" w:styleId="ListLabel7">
    <w:name w:val="ListLabel 7"/>
    <w:qFormat/>
    <w:rPr>
      <w:rFonts w:cs="Calibri"/>
    </w:rPr>
  </w:style>
  <w:style w:type="character" w:styleId="ListLabel8">
    <w:name w:val="ListLabel 8"/>
    <w:qFormat/>
    <w:rPr>
      <w:rFonts w:cs="Calibri"/>
    </w:rPr>
  </w:style>
  <w:style w:type="character" w:styleId="ListLabel9">
    <w:name w:val="ListLabel 9"/>
    <w:qFormat/>
    <w:rPr>
      <w:rFonts w:cs="Calibri"/>
    </w:rPr>
  </w:style>
  <w:style w:type="character" w:styleId="ListLabel10">
    <w:name w:val="ListLabel 10"/>
    <w:qFormat/>
    <w:rPr>
      <w:rFonts w:cs="Calibri"/>
    </w:rPr>
  </w:style>
  <w:style w:type="character" w:styleId="ListLabel11">
    <w:name w:val="ListLabel 11"/>
    <w:qFormat/>
    <w:rPr>
      <w:rFonts w:cs="Calibri"/>
    </w:rPr>
  </w:style>
  <w:style w:type="character" w:styleId="ListLabel12">
    <w:name w:val="ListLabel 12"/>
    <w:qFormat/>
    <w:rPr>
      <w:rFonts w:cs="Calibri"/>
    </w:rPr>
  </w:style>
  <w:style w:type="character" w:styleId="ListLabel13">
    <w:name w:val="ListLabel 13"/>
    <w:qFormat/>
    <w:rPr>
      <w:rFonts w:cs="Times New Roman"/>
    </w:rPr>
  </w:style>
  <w:style w:type="character" w:styleId="ListLabel14">
    <w:name w:val="ListLabel 14"/>
    <w:qFormat/>
    <w:rPr>
      <w:b/>
      <w:sz w:val="20"/>
    </w:rPr>
  </w:style>
  <w:style w:type="character" w:styleId="Style16">
    <w:name w:val="Название Знак"/>
    <w:qFormat/>
    <w:rPr>
      <w:rFonts w:ascii="Arial" w:hAnsi="Arial" w:cs="Arial"/>
      <w:b/>
      <w:sz w:val="32"/>
    </w:rPr>
  </w:style>
  <w:style w:type="character" w:styleId="13">
    <w:name w:val="Основной текст с отступом Знак1"/>
    <w:basedOn w:val="Style5"/>
    <w:qFormat/>
    <w:rPr/>
  </w:style>
  <w:style w:type="character" w:styleId="14">
    <w:name w:val="Подзаголовок Знак1"/>
    <w:qFormat/>
    <w:rPr>
      <w:rFonts w:ascii="Arial" w:hAnsi="Arial" w:cs="Arial"/>
      <w:sz w:val="24"/>
    </w:rPr>
  </w:style>
  <w:style w:type="character" w:styleId="15">
    <w:name w:val="Подпись Знак1"/>
    <w:basedOn w:val="Style5"/>
    <w:qFormat/>
    <w:rPr/>
  </w:style>
  <w:style w:type="character" w:styleId="321">
    <w:name w:val="Основной текст 3 Знак2"/>
    <w:qFormat/>
    <w:rPr>
      <w:sz w:val="16"/>
      <w:szCs w:val="16"/>
    </w:rPr>
  </w:style>
  <w:style w:type="character" w:styleId="211">
    <w:name w:val="Основной текст с отступом 2 Знак1"/>
    <w:qFormat/>
    <w:rPr>
      <w:sz w:val="24"/>
    </w:rPr>
  </w:style>
  <w:style w:type="character" w:styleId="HTML1">
    <w:name w:val="Стандартный HTML Знак1"/>
    <w:qFormat/>
    <w:rPr>
      <w:rFonts w:ascii="Courier New" w:hAnsi="Courier New" w:cs="Courier New"/>
    </w:rPr>
  </w:style>
  <w:style w:type="character" w:styleId="34">
    <w:name w:val="Основной текст с отступом 3 Знак"/>
    <w:qFormat/>
    <w:rPr>
      <w:sz w:val="16"/>
      <w:szCs w:val="16"/>
    </w:rPr>
  </w:style>
  <w:style w:type="character" w:styleId="Style17">
    <w:name w:val="Текст Знак"/>
    <w:qFormat/>
    <w:rPr>
      <w:rFonts w:ascii="Courier New" w:hAnsi="Courier New" w:cs="Courier New"/>
    </w:rPr>
  </w:style>
  <w:style w:type="character" w:styleId="16">
    <w:name w:val="Основной шрифт абзаца1"/>
    <w:qFormat/>
    <w:rPr/>
  </w:style>
  <w:style w:type="character" w:styleId="Style18">
    <w:name w:val="Выделение"/>
    <w:qFormat/>
    <w:rPr>
      <w:i/>
      <w:iCs/>
    </w:rPr>
  </w:style>
  <w:style w:type="character" w:styleId="17">
    <w:name w:val="Основной текст1"/>
    <w:qFormat/>
    <w:rPr>
      <w:rFonts w:ascii="Times New Roman" w:hAnsi="Times New Roman" w:eastAsia="Times New Roman" w:cs="Times New Roman"/>
      <w:i w:val="false"/>
      <w:iCs w:val="false"/>
      <w:caps w:val="false"/>
      <w:smallCaps w:val="false"/>
      <w:spacing w:val="0"/>
      <w:sz w:val="22"/>
      <w:szCs w:val="22"/>
      <w:shd w:fill="FFFFFF" w:val="clear"/>
    </w:rPr>
  </w:style>
  <w:style w:type="character" w:styleId="Style19">
    <w:name w:val="Текст выноски Знак"/>
    <w:qFormat/>
    <w:rPr>
      <w:rFonts w:ascii="Tahoma" w:hAnsi="Tahoma" w:cs="Tahoma"/>
      <w:sz w:val="16"/>
      <w:szCs w:val="16"/>
    </w:rPr>
  </w:style>
  <w:style w:type="character" w:styleId="Style20">
    <w:name w:val="Нижний колонтитул Знак"/>
    <w:qFormat/>
    <w:rPr/>
  </w:style>
  <w:style w:type="character" w:styleId="18">
    <w:name w:val="Нижний колонтитул Знак1"/>
    <w:qFormat/>
    <w:rPr>
      <w:sz w:val="24"/>
      <w:szCs w:val="24"/>
    </w:rPr>
  </w:style>
  <w:style w:type="character" w:styleId="19">
    <w:name w:val="Название Знак1"/>
    <w:qFormat/>
    <w:rPr>
      <w:rFonts w:ascii="Calibri Light" w:hAnsi="Calibri Light" w:eastAsia="Times New Roman" w:cs="Times New Roman"/>
      <w:b/>
      <w:bCs/>
      <w:sz w:val="32"/>
      <w:szCs w:val="32"/>
    </w:rPr>
  </w:style>
  <w:style w:type="character" w:styleId="FontStyle47">
    <w:name w:val="Font Style47"/>
    <w:qFormat/>
    <w:rPr>
      <w:rFonts w:ascii="Times New Roman" w:hAnsi="Times New Roman" w:cs="Times New Roman"/>
      <w:sz w:val="18"/>
      <w:szCs w:val="18"/>
    </w:rPr>
  </w:style>
  <w:style w:type="character" w:styleId="Style21">
    <w:name w:val="Знак примечания"/>
    <w:qFormat/>
    <w:rPr>
      <w:sz w:val="16"/>
      <w:szCs w:val="16"/>
    </w:rPr>
  </w:style>
  <w:style w:type="character" w:styleId="Style22">
    <w:name w:val="Текст примечания Знак"/>
    <w:basedOn w:val="Style5"/>
    <w:qFormat/>
    <w:rPr/>
  </w:style>
  <w:style w:type="character" w:styleId="Style23">
    <w:name w:val="Тема примечания Знак"/>
    <w:qFormat/>
    <w:rPr>
      <w:b/>
      <w:bCs/>
    </w:rPr>
  </w:style>
  <w:style w:type="character" w:styleId="Style24">
    <w:name w:val="Символ сноски"/>
    <w:qFormat/>
    <w:rPr>
      <w:vertAlign w:val="superscript"/>
    </w:rPr>
  </w:style>
  <w:style w:type="character" w:styleId="Style25">
    <w:name w:val="Текст сноски Знак"/>
    <w:qFormat/>
    <w:rPr>
      <w:sz w:val="24"/>
    </w:rPr>
  </w:style>
  <w:style w:type="character" w:styleId="Style26">
    <w:name w:val="Выделение жирным"/>
    <w:qFormat/>
    <w:rPr>
      <w:b/>
      <w:bCs/>
    </w:rPr>
  </w:style>
  <w:style w:type="character" w:styleId="ListLabel15">
    <w:name w:val="ListLabel 15"/>
    <w:qFormat/>
    <w:rPr>
      <w:b/>
      <w:i/>
    </w:rPr>
  </w:style>
  <w:style w:type="character" w:styleId="ListLabel16">
    <w:name w:val="ListLabel 16"/>
    <w:qFormat/>
    <w:rPr>
      <w:sz w:val="23"/>
      <w:szCs w:val="24"/>
    </w:rPr>
  </w:style>
  <w:style w:type="character" w:styleId="ListLabel17">
    <w:name w:val="ListLabel 17"/>
    <w:qFormat/>
    <w:rPr>
      <w:b/>
      <w:i/>
    </w:rPr>
  </w:style>
  <w:style w:type="character" w:styleId="ListLabel18">
    <w:name w:val="ListLabel 18"/>
    <w:qFormat/>
    <w:rPr>
      <w:sz w:val="23"/>
      <w:szCs w:val="24"/>
    </w:rPr>
  </w:style>
  <w:style w:type="paragraph" w:styleId="Style27">
    <w:name w:val="Заголовок"/>
    <w:basedOn w:val="Normal"/>
    <w:next w:val="Style28"/>
    <w:qFormat/>
    <w:pPr>
      <w:keepNext w:val="true"/>
      <w:spacing w:before="240" w:after="120"/>
    </w:pPr>
    <w:rPr>
      <w:rFonts w:ascii="Liberation Sans;Arial" w:hAnsi="Liberation Sans;Arial" w:eastAsia="Noto Sans CJK SC Regular" w:cs="Lohit Devanagari;Times New Roman"/>
      <w:sz w:val="28"/>
      <w:szCs w:val="28"/>
    </w:rPr>
  </w:style>
  <w:style w:type="paragraph" w:styleId="Style28">
    <w:name w:val="Body Text"/>
    <w:basedOn w:val="Normal"/>
    <w:pPr/>
    <w:rPr>
      <w:sz w:val="20"/>
    </w:rPr>
  </w:style>
  <w:style w:type="paragraph" w:styleId="Style29">
    <w:name w:val="List"/>
    <w:basedOn w:val="Style28"/>
    <w:pPr>
      <w:spacing w:before="0" w:after="120"/>
    </w:pPr>
    <w:rPr>
      <w:rFonts w:cs="Lohit Devanagari;Times New Roman"/>
      <w:szCs w:val="20"/>
    </w:rPr>
  </w:style>
  <w:style w:type="paragraph" w:styleId="Style30">
    <w:name w:val="Caption"/>
    <w:basedOn w:val="Normal"/>
    <w:qFormat/>
    <w:pPr>
      <w:spacing w:before="240" w:after="60"/>
      <w:jc w:val="center"/>
    </w:pPr>
    <w:rPr>
      <w:rFonts w:ascii="Arial" w:hAnsi="Arial" w:cs="Arial"/>
      <w:b/>
      <w:sz w:val="32"/>
      <w:szCs w:val="20"/>
    </w:rPr>
  </w:style>
  <w:style w:type="paragraph" w:styleId="Style31">
    <w:name w:val="Указатель"/>
    <w:basedOn w:val="Normal"/>
    <w:qFormat/>
    <w:pPr>
      <w:suppressLineNumbers/>
    </w:pPr>
    <w:rPr>
      <w:rFonts w:cs="Lohit Devanagari"/>
    </w:rPr>
  </w:style>
  <w:style w:type="paragraph" w:styleId="Style32">
    <w:name w:val="Нумерованный список"/>
    <w:basedOn w:val="Normal"/>
    <w:qFormat/>
    <w:pPr>
      <w:spacing w:lineRule="auto" w:line="360" w:before="60" w:after="0"/>
      <w:jc w:val="both"/>
    </w:pPr>
    <w:rPr>
      <w:sz w:val="28"/>
    </w:rPr>
  </w:style>
  <w:style w:type="paragraph" w:styleId="Style33">
    <w:name w:val="Таблица шапка"/>
    <w:basedOn w:val="Normal"/>
    <w:qFormat/>
    <w:pPr>
      <w:keepNext w:val="true"/>
      <w:spacing w:before="40" w:after="40"/>
      <w:ind w:left="57" w:right="57" w:hanging="0"/>
    </w:pPr>
    <w:rPr>
      <w:sz w:val="22"/>
      <w:szCs w:val="20"/>
    </w:rPr>
  </w:style>
  <w:style w:type="paragraph" w:styleId="Style34">
    <w:name w:val="Таблица текст"/>
    <w:basedOn w:val="Normal"/>
    <w:qFormat/>
    <w:pPr>
      <w:spacing w:before="40" w:after="40"/>
      <w:ind w:left="57" w:right="57" w:hanging="0"/>
    </w:pPr>
    <w:rPr>
      <w:szCs w:val="20"/>
    </w:rPr>
  </w:style>
  <w:style w:type="paragraph" w:styleId="Style35">
    <w:name w:val="Текст выноски"/>
    <w:basedOn w:val="Normal"/>
    <w:qFormat/>
    <w:pPr/>
    <w:rPr>
      <w:rFonts w:ascii="Tahoma" w:hAnsi="Tahoma" w:cs="Tahoma"/>
      <w:sz w:val="16"/>
      <w:szCs w:val="16"/>
    </w:rPr>
  </w:style>
  <w:style w:type="paragraph" w:styleId="25">
    <w:name w:val="Основной текст 2"/>
    <w:basedOn w:val="Normal"/>
    <w:qFormat/>
    <w:pPr>
      <w:spacing w:lineRule="auto" w:line="480" w:before="0" w:after="120"/>
    </w:pPr>
    <w:rPr/>
  </w:style>
  <w:style w:type="paragraph" w:styleId="Style36">
    <w:name w:val=" Знак"/>
    <w:basedOn w:val="Normal"/>
    <w:qFormat/>
    <w:pPr>
      <w:tabs>
        <w:tab w:val="left" w:pos="360" w:leader="none"/>
      </w:tabs>
      <w:spacing w:lineRule="exact" w:line="240" w:before="0" w:after="160"/>
    </w:pPr>
    <w:rPr>
      <w:rFonts w:ascii="Verdana" w:hAnsi="Verdana" w:cs="Verdana"/>
      <w:sz w:val="20"/>
      <w:szCs w:val="20"/>
      <w:lang w:val="en-US"/>
    </w:rPr>
  </w:style>
  <w:style w:type="paragraph" w:styleId="Style37">
    <w:name w:val="Колонтитул"/>
    <w:basedOn w:val="Normal"/>
    <w:qFormat/>
    <w:pPr>
      <w:suppressLineNumbers/>
      <w:tabs>
        <w:tab w:val="center" w:pos="4819" w:leader="none"/>
        <w:tab w:val="right" w:pos="9638" w:leader="none"/>
      </w:tabs>
    </w:pPr>
    <w:rPr/>
  </w:style>
  <w:style w:type="paragraph" w:styleId="Style38">
    <w:name w:val="Footer"/>
    <w:basedOn w:val="Normal"/>
    <w:pPr>
      <w:tabs>
        <w:tab w:val="center" w:pos="4153" w:leader="none"/>
        <w:tab w:val="right" w:pos="8306" w:leader="none"/>
      </w:tabs>
    </w:pPr>
    <w:rPr>
      <w:sz w:val="20"/>
      <w:szCs w:val="20"/>
    </w:rPr>
  </w:style>
  <w:style w:type="paragraph" w:styleId="Style39">
    <w:name w:val="Header"/>
    <w:basedOn w:val="Normal"/>
    <w:pPr>
      <w:tabs>
        <w:tab w:val="center" w:pos="4153" w:leader="none"/>
        <w:tab w:val="right" w:pos="8306" w:leader="none"/>
      </w:tabs>
    </w:pPr>
    <w:rPr>
      <w:sz w:val="20"/>
      <w:szCs w:val="20"/>
    </w:rPr>
  </w:style>
  <w:style w:type="paragraph" w:styleId="Style40">
    <w:name w:val="Пункт"/>
    <w:basedOn w:val="Normal"/>
    <w:qFormat/>
    <w:pPr>
      <w:tabs>
        <w:tab w:val="left" w:pos="1844" w:leader="none"/>
      </w:tabs>
      <w:spacing w:lineRule="auto" w:line="360"/>
      <w:ind w:left="1844" w:right="0" w:hanging="1134"/>
      <w:jc w:val="both"/>
    </w:pPr>
    <w:rPr>
      <w:sz w:val="28"/>
      <w:szCs w:val="20"/>
    </w:rPr>
  </w:style>
  <w:style w:type="paragraph" w:styleId="Style41">
    <w:name w:val="Обычный (веб)"/>
    <w:basedOn w:val="Normal"/>
    <w:qFormat/>
    <w:pPr>
      <w:spacing w:before="280" w:after="115"/>
    </w:pPr>
    <w:rPr>
      <w:color w:val="000000"/>
    </w:rPr>
  </w:style>
  <w:style w:type="paragraph" w:styleId="ConsPlusNormal">
    <w:name w:val="ConsPlusNormal"/>
    <w:qFormat/>
    <w:pPr>
      <w:widowControl/>
      <w:suppressAutoHyphens w:val="true"/>
      <w:bidi w:val="0"/>
      <w:ind w:left="0" w:right="0" w:firstLine="720"/>
      <w:jc w:val="left"/>
    </w:pPr>
    <w:rPr>
      <w:rFonts w:ascii="Arial" w:hAnsi="Arial" w:eastAsia="Times New Roman" w:cs="Arial"/>
      <w:color w:val="00000A"/>
      <w:sz w:val="20"/>
      <w:szCs w:val="20"/>
      <w:lang w:val="ru-RU" w:eastAsia="zh-CN" w:bidi="ar-SA"/>
    </w:rPr>
  </w:style>
  <w:style w:type="paragraph" w:styleId="Spii">
    <w:name w:val="spi_i"/>
    <w:basedOn w:val="Normal"/>
    <w:qFormat/>
    <w:pPr>
      <w:ind w:left="192" w:right="0" w:hanging="192"/>
    </w:pPr>
    <w:rPr>
      <w:rFonts w:ascii="Arial" w:hAnsi="Arial" w:eastAsia="Calibri" w:cs="Arial"/>
      <w:sz w:val="18"/>
      <w:szCs w:val="18"/>
    </w:rPr>
  </w:style>
  <w:style w:type="paragraph" w:styleId="ListParagraph">
    <w:name w:val="List Paragraph"/>
    <w:basedOn w:val="Normal"/>
    <w:qFormat/>
    <w:pPr>
      <w:spacing w:lineRule="auto" w:line="276" w:before="0" w:after="200"/>
      <w:ind w:left="720" w:right="0" w:hanging="0"/>
      <w:contextualSpacing/>
    </w:pPr>
    <w:rPr>
      <w:rFonts w:ascii="Calibri" w:hAnsi="Calibri" w:cs="Calibri"/>
      <w:sz w:val="22"/>
      <w:szCs w:val="22"/>
    </w:rPr>
  </w:style>
  <w:style w:type="paragraph" w:styleId="Style42">
    <w:name w:val="Абзац списка"/>
    <w:basedOn w:val="Normal"/>
    <w:qFormat/>
    <w:pPr>
      <w:spacing w:before="0" w:after="0"/>
      <w:ind w:left="720" w:right="0" w:firstLine="360"/>
      <w:contextualSpacing/>
    </w:pPr>
    <w:rPr>
      <w:rFonts w:ascii="Calibri" w:hAnsi="Calibri" w:cs="Calibri"/>
      <w:sz w:val="22"/>
      <w:szCs w:val="22"/>
    </w:rPr>
  </w:style>
  <w:style w:type="paragraph" w:styleId="26">
    <w:name w:val="Список 2"/>
    <w:basedOn w:val="Normal"/>
    <w:qFormat/>
    <w:pPr>
      <w:spacing w:before="0" w:after="0"/>
      <w:ind w:left="566" w:right="0" w:hanging="283"/>
      <w:contextualSpacing/>
    </w:pPr>
    <w:rPr/>
  </w:style>
  <w:style w:type="paragraph" w:styleId="Style81">
    <w:name w:val="Style8"/>
    <w:basedOn w:val="Normal"/>
    <w:qFormat/>
    <w:pPr>
      <w:widowControl w:val="false"/>
      <w:spacing w:lineRule="exact" w:line="317"/>
      <w:jc w:val="both"/>
    </w:pPr>
    <w:rPr/>
  </w:style>
  <w:style w:type="paragraph" w:styleId="Style131">
    <w:name w:val="Style13"/>
    <w:basedOn w:val="Normal"/>
    <w:qFormat/>
    <w:pPr>
      <w:widowControl w:val="false"/>
      <w:spacing w:lineRule="exact" w:line="278"/>
      <w:ind w:left="0" w:right="0" w:firstLine="600"/>
    </w:pPr>
    <w:rPr/>
  </w:style>
  <w:style w:type="paragraph" w:styleId="Style151">
    <w:name w:val="Style15"/>
    <w:basedOn w:val="Normal"/>
    <w:qFormat/>
    <w:pPr>
      <w:widowControl w:val="false"/>
      <w:spacing w:lineRule="exact" w:line="317"/>
      <w:ind w:left="0" w:right="0" w:firstLine="130"/>
      <w:jc w:val="both"/>
    </w:pPr>
    <w:rPr/>
  </w:style>
  <w:style w:type="paragraph" w:styleId="Style191">
    <w:name w:val="Style19"/>
    <w:basedOn w:val="Normal"/>
    <w:qFormat/>
    <w:pPr>
      <w:widowControl w:val="false"/>
      <w:spacing w:lineRule="exact" w:line="317"/>
      <w:ind w:left="0" w:right="0" w:firstLine="144"/>
      <w:jc w:val="both"/>
    </w:pPr>
    <w:rPr/>
  </w:style>
  <w:style w:type="paragraph" w:styleId="Style221">
    <w:name w:val="Style22"/>
    <w:basedOn w:val="Normal"/>
    <w:qFormat/>
    <w:pPr>
      <w:widowControl w:val="false"/>
      <w:spacing w:lineRule="exact" w:line="312"/>
      <w:ind w:left="0" w:right="0" w:firstLine="950"/>
    </w:pPr>
    <w:rPr/>
  </w:style>
  <w:style w:type="paragraph" w:styleId="Style251">
    <w:name w:val="Style25"/>
    <w:basedOn w:val="Normal"/>
    <w:qFormat/>
    <w:pPr>
      <w:widowControl w:val="false"/>
      <w:spacing w:lineRule="exact" w:line="312"/>
      <w:ind w:left="0" w:right="0" w:firstLine="139"/>
      <w:jc w:val="both"/>
    </w:pPr>
    <w:rPr/>
  </w:style>
  <w:style w:type="paragraph" w:styleId="27">
    <w:name w:val="= Заголовок 2 ="/>
    <w:basedOn w:val="Normal"/>
    <w:qFormat/>
    <w:pPr>
      <w:keepNext w:val="true"/>
      <w:suppressAutoHyphens w:val="true"/>
      <w:ind w:left="0" w:right="0" w:firstLine="700"/>
    </w:pPr>
    <w:rPr>
      <w:b/>
      <w:color w:val="000000"/>
      <w:sz w:val="26"/>
      <w:szCs w:val="26"/>
    </w:rPr>
  </w:style>
  <w:style w:type="paragraph" w:styleId="ListBullet4">
    <w:name w:val="List Bullet 4"/>
    <w:basedOn w:val="Normal"/>
    <w:qFormat/>
    <w:pPr>
      <w:ind w:left="566" w:right="0" w:hanging="283"/>
    </w:pPr>
    <w:rPr>
      <w:szCs w:val="20"/>
    </w:rPr>
  </w:style>
  <w:style w:type="paragraph" w:styleId="Style43">
    <w:name w:val="Название объекта"/>
    <w:basedOn w:val="Normal"/>
    <w:qFormat/>
    <w:pPr>
      <w:suppressLineNumbers/>
      <w:spacing w:before="120" w:after="120"/>
    </w:pPr>
    <w:rPr>
      <w:rFonts w:cs="Lohit Devanagari;Times New Roman"/>
      <w:i/>
      <w:iCs/>
    </w:rPr>
  </w:style>
  <w:style w:type="paragraph" w:styleId="110">
    <w:name w:val="Index 1"/>
    <w:basedOn w:val="Normal"/>
    <w:next w:val="Normal"/>
    <w:pPr>
      <w:ind w:left="240" w:right="0" w:hanging="240"/>
    </w:pPr>
    <w:rPr/>
  </w:style>
  <w:style w:type="paragraph" w:styleId="Style44">
    <w:name w:val="Index Heading"/>
    <w:basedOn w:val="Normal"/>
    <w:pPr>
      <w:suppressLineNumbers/>
    </w:pPr>
    <w:rPr>
      <w:rFonts w:cs="Lohit Devanagari;Times New Roman"/>
      <w:sz w:val="20"/>
      <w:szCs w:val="20"/>
    </w:rPr>
  </w:style>
  <w:style w:type="paragraph" w:styleId="ListBullet5">
    <w:name w:val="List Bullet 5"/>
    <w:basedOn w:val="Style29"/>
    <w:qFormat/>
    <w:pPr>
      <w:spacing w:before="0" w:after="120"/>
      <w:ind w:left="1440" w:right="0" w:hanging="360"/>
    </w:pPr>
    <w:rPr/>
  </w:style>
  <w:style w:type="paragraph" w:styleId="WW4">
    <w:name w:val="WW-Маркированный список 4"/>
    <w:basedOn w:val="Normal"/>
    <w:qFormat/>
    <w:pPr>
      <w:ind w:left="849" w:right="0" w:hanging="283"/>
    </w:pPr>
    <w:rPr>
      <w:sz w:val="20"/>
      <w:szCs w:val="20"/>
    </w:rPr>
  </w:style>
  <w:style w:type="paragraph" w:styleId="ListBullet3">
    <w:name w:val="List Bullet 3"/>
    <w:basedOn w:val="Normal"/>
    <w:qFormat/>
    <w:pPr/>
    <w:rPr>
      <w:sz w:val="20"/>
      <w:szCs w:val="20"/>
    </w:rPr>
  </w:style>
  <w:style w:type="paragraph" w:styleId="28">
    <w:name w:val="Продолжение списка 2"/>
    <w:basedOn w:val="Normal"/>
    <w:qFormat/>
    <w:pPr>
      <w:spacing w:before="0" w:after="120"/>
      <w:ind w:left="566" w:right="0" w:hanging="0"/>
    </w:pPr>
    <w:rPr>
      <w:sz w:val="20"/>
      <w:szCs w:val="20"/>
    </w:rPr>
  </w:style>
  <w:style w:type="paragraph" w:styleId="Style45">
    <w:name w:val="Body Text Indent"/>
    <w:basedOn w:val="Normal"/>
    <w:pPr>
      <w:spacing w:before="0" w:after="120"/>
      <w:ind w:left="283" w:right="0" w:hanging="0"/>
    </w:pPr>
    <w:rPr>
      <w:sz w:val="20"/>
      <w:szCs w:val="20"/>
    </w:rPr>
  </w:style>
  <w:style w:type="paragraph" w:styleId="Style46">
    <w:name w:val="Subtitle"/>
    <w:basedOn w:val="Normal"/>
    <w:qFormat/>
    <w:pPr>
      <w:spacing w:before="0" w:after="60"/>
      <w:jc w:val="center"/>
    </w:pPr>
    <w:rPr>
      <w:rFonts w:ascii="Arial" w:hAnsi="Arial" w:cs="Arial"/>
      <w:szCs w:val="20"/>
    </w:rPr>
  </w:style>
  <w:style w:type="paragraph" w:styleId="Style47">
    <w:name w:val="Обычный отступ"/>
    <w:basedOn w:val="Normal"/>
    <w:qFormat/>
    <w:pPr>
      <w:ind w:left="720" w:right="0" w:hanging="0"/>
    </w:pPr>
    <w:rPr>
      <w:sz w:val="20"/>
      <w:szCs w:val="20"/>
    </w:rPr>
  </w:style>
  <w:style w:type="paragraph" w:styleId="Style48">
    <w:name w:val="Краткий обратный адрес"/>
    <w:basedOn w:val="Normal"/>
    <w:qFormat/>
    <w:pPr/>
    <w:rPr>
      <w:sz w:val="20"/>
      <w:szCs w:val="20"/>
    </w:rPr>
  </w:style>
  <w:style w:type="paragraph" w:styleId="Style49">
    <w:name w:val="Signature"/>
    <w:basedOn w:val="Normal"/>
    <w:pPr>
      <w:ind w:left="4252" w:right="0" w:hanging="0"/>
    </w:pPr>
    <w:rPr>
      <w:sz w:val="20"/>
      <w:szCs w:val="20"/>
    </w:rPr>
  </w:style>
  <w:style w:type="paragraph" w:styleId="PP">
    <w:name w:val="Строка PP"/>
    <w:basedOn w:val="Style49"/>
    <w:qFormat/>
    <w:pPr/>
    <w:rPr/>
  </w:style>
  <w:style w:type="paragraph" w:styleId="Style50">
    <w:name w:val="Адресат"/>
    <w:basedOn w:val="Normal"/>
    <w:qFormat/>
    <w:pPr/>
    <w:rPr>
      <w:sz w:val="20"/>
      <w:szCs w:val="20"/>
    </w:rPr>
  </w:style>
  <w:style w:type="paragraph" w:styleId="35">
    <w:name w:val="Основной текст 3"/>
    <w:basedOn w:val="Normal"/>
    <w:qFormat/>
    <w:pPr>
      <w:ind w:left="0" w:right="-1" w:hanging="0"/>
      <w:jc w:val="both"/>
    </w:pPr>
    <w:rPr>
      <w:szCs w:val="20"/>
    </w:rPr>
  </w:style>
  <w:style w:type="paragraph" w:styleId="29">
    <w:name w:val="Основной текст с отступом 2"/>
    <w:basedOn w:val="Normal"/>
    <w:qFormat/>
    <w:pPr>
      <w:ind w:left="0" w:right="0" w:firstLine="284"/>
      <w:jc w:val="both"/>
    </w:pPr>
    <w:rPr>
      <w:szCs w:val="20"/>
    </w:rPr>
  </w:style>
  <w:style w:type="paragraph" w:styleId="Style51">
    <w:name w:val="Содержимое таблицы"/>
    <w:basedOn w:val="Normal"/>
    <w:qFormat/>
    <w:pPr>
      <w:suppressLineNumbers/>
      <w:suppressAutoHyphens w:val="true"/>
    </w:pPr>
    <w:rPr/>
  </w:style>
  <w:style w:type="paragraph" w:styleId="HTML2">
    <w:name w:val="Стандартный HTML"/>
    <w:basedOn w:val="Normal"/>
    <w:qFormat/>
    <w:pPr>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pPr>
    <w:rPr>
      <w:rFonts w:ascii="Courier New" w:hAnsi="Courier New" w:cs="Courier New"/>
      <w:sz w:val="20"/>
      <w:szCs w:val="20"/>
    </w:rPr>
  </w:style>
  <w:style w:type="paragraph" w:styleId="Style52">
    <w:name w:val="Знак"/>
    <w:basedOn w:val="Normal"/>
    <w:qFormat/>
    <w:pPr>
      <w:tabs>
        <w:tab w:val="left" w:pos="360" w:leader="none"/>
      </w:tabs>
      <w:spacing w:lineRule="exact" w:line="240" w:before="0" w:after="160"/>
    </w:pPr>
    <w:rPr>
      <w:rFonts w:ascii="Verdana" w:hAnsi="Verdana" w:cs="Verdana"/>
      <w:sz w:val="20"/>
      <w:szCs w:val="20"/>
      <w:lang w:val="en-US"/>
    </w:rPr>
  </w:style>
  <w:style w:type="paragraph" w:styleId="36">
    <w:name w:val="Основной текст с отступом 3"/>
    <w:basedOn w:val="Normal"/>
    <w:qFormat/>
    <w:pPr>
      <w:spacing w:before="0" w:after="120"/>
      <w:ind w:left="283" w:right="0" w:hanging="0"/>
    </w:pPr>
    <w:rPr>
      <w:sz w:val="16"/>
      <w:szCs w:val="16"/>
    </w:rPr>
  </w:style>
  <w:style w:type="paragraph" w:styleId="Style53">
    <w:name w:val="Текст"/>
    <w:basedOn w:val="Normal"/>
    <w:qFormat/>
    <w:pPr/>
    <w:rPr>
      <w:rFonts w:ascii="Courier New" w:hAnsi="Courier New" w:cs="Courier New"/>
      <w:sz w:val="20"/>
      <w:szCs w:val="20"/>
    </w:rPr>
  </w:style>
  <w:style w:type="paragraph" w:styleId="ConsPlusTitle">
    <w:name w:val="ConsPlusTitle"/>
    <w:qFormat/>
    <w:pPr>
      <w:widowControl w:val="false"/>
      <w:suppressAutoHyphens w:val="true"/>
      <w:bidi w:val="0"/>
      <w:jc w:val="left"/>
    </w:pPr>
    <w:rPr>
      <w:rFonts w:ascii="Calibri" w:hAnsi="Calibri" w:eastAsia="Times New Roman" w:cs="Calibri"/>
      <w:b/>
      <w:color w:val="00000A"/>
      <w:sz w:val="22"/>
      <w:szCs w:val="20"/>
      <w:lang w:val="ru-RU" w:eastAsia="zh-CN" w:bidi="ar-SA"/>
    </w:rPr>
  </w:style>
  <w:style w:type="paragraph" w:styleId="111">
    <w:name w:val="Название1"/>
    <w:basedOn w:val="Normal"/>
    <w:qFormat/>
    <w:pPr>
      <w:suppressLineNumbers/>
      <w:suppressAutoHyphens w:val="true"/>
      <w:spacing w:before="120" w:after="120"/>
    </w:pPr>
    <w:rPr>
      <w:rFonts w:ascii="Arial" w:hAnsi="Arial" w:cs="Tahoma"/>
      <w:i/>
      <w:iCs/>
      <w:sz w:val="20"/>
    </w:rPr>
  </w:style>
  <w:style w:type="paragraph" w:styleId="112">
    <w:name w:val="Указатель1"/>
    <w:basedOn w:val="Normal"/>
    <w:qFormat/>
    <w:pPr>
      <w:suppressLineNumbers/>
      <w:suppressAutoHyphens w:val="true"/>
    </w:pPr>
    <w:rPr>
      <w:rFonts w:ascii="Arial" w:hAnsi="Arial" w:cs="Tahoma"/>
    </w:rPr>
  </w:style>
  <w:style w:type="paragraph" w:styleId="210">
    <w:name w:val="заголовок 2"/>
    <w:basedOn w:val="Normal"/>
    <w:next w:val="Normal"/>
    <w:qFormat/>
    <w:pPr>
      <w:keepNext w:val="true"/>
      <w:suppressAutoHyphens w:val="true"/>
    </w:pPr>
    <w:rPr>
      <w:rFonts w:ascii="Arial" w:hAnsi="Arial" w:cs="Arial"/>
      <w:b/>
      <w:sz w:val="22"/>
      <w:szCs w:val="20"/>
      <w:lang w:val="en-US"/>
    </w:rPr>
  </w:style>
  <w:style w:type="paragraph" w:styleId="Msonormal">
    <w:name w:val="msonormal"/>
    <w:basedOn w:val="Normal"/>
    <w:qFormat/>
    <w:pPr>
      <w:spacing w:before="280" w:after="280"/>
    </w:pPr>
    <w:rPr/>
  </w:style>
  <w:style w:type="paragraph" w:styleId="Xl63">
    <w:name w:val="xl63"/>
    <w:basedOn w:val="Normal"/>
    <w:qFormat/>
    <w:pPr>
      <w:spacing w:before="280" w:after="280"/>
      <w:jc w:val="center"/>
    </w:pPr>
    <w:rPr>
      <w:sz w:val="20"/>
      <w:szCs w:val="20"/>
    </w:rPr>
  </w:style>
  <w:style w:type="paragraph" w:styleId="Xl64">
    <w:name w:val="xl64"/>
    <w:basedOn w:val="Normal"/>
    <w:qFormat/>
    <w:pPr>
      <w:spacing w:before="280" w:after="280"/>
    </w:pPr>
    <w:rPr/>
  </w:style>
  <w:style w:type="paragraph" w:styleId="Xl65">
    <w:name w:val="xl65"/>
    <w:basedOn w:val="Normal"/>
    <w:qFormat/>
    <w:pPr>
      <w:spacing w:before="280" w:after="280"/>
      <w:textAlignment w:val="top"/>
    </w:pPr>
    <w:rPr/>
  </w:style>
  <w:style w:type="paragraph" w:styleId="Xl66">
    <w:name w:val="xl66"/>
    <w:basedOn w:val="Normal"/>
    <w:qFormat/>
    <w:pPr>
      <w:spacing w:before="280" w:after="280"/>
    </w:pPr>
    <w:rPr>
      <w:sz w:val="20"/>
      <w:szCs w:val="20"/>
    </w:rPr>
  </w:style>
  <w:style w:type="paragraph" w:styleId="Xl67">
    <w:name w:val="xl67"/>
    <w:basedOn w:val="Normal"/>
    <w:qFormat/>
    <w:pPr>
      <w:spacing w:before="280" w:after="280"/>
    </w:pPr>
    <w:rPr>
      <w:i/>
      <w:iCs/>
    </w:rPr>
  </w:style>
  <w:style w:type="paragraph" w:styleId="Xl68">
    <w:name w:val="xl68"/>
    <w:basedOn w:val="Normal"/>
    <w:qFormat/>
    <w:pPr>
      <w:spacing w:before="280" w:after="280"/>
    </w:pPr>
    <w:rPr>
      <w:sz w:val="20"/>
      <w:szCs w:val="20"/>
    </w:rPr>
  </w:style>
  <w:style w:type="paragraph" w:styleId="Xl69">
    <w:name w:val="xl69"/>
    <w:basedOn w:val="Normal"/>
    <w:qFormat/>
    <w:pPr>
      <w:spacing w:before="280" w:after="280"/>
    </w:pPr>
    <w:rPr>
      <w:sz w:val="20"/>
      <w:szCs w:val="20"/>
    </w:rPr>
  </w:style>
  <w:style w:type="paragraph" w:styleId="Xl70">
    <w:name w:val="xl70"/>
    <w:basedOn w:val="Normal"/>
    <w:qFormat/>
    <w:pPr>
      <w:pBdr>
        <w:top w:val="single" w:sz="4" w:space="0" w:color="808080"/>
        <w:left w:val="single" w:sz="4" w:space="0" w:color="808080"/>
        <w:bottom w:val="single" w:sz="4" w:space="0" w:color="808080"/>
        <w:right w:val="single" w:sz="4" w:space="0" w:color="808080"/>
      </w:pBdr>
      <w:spacing w:before="280" w:after="280"/>
      <w:jc w:val="center"/>
      <w:textAlignment w:val="center"/>
    </w:pPr>
    <w:rPr>
      <w:sz w:val="20"/>
      <w:szCs w:val="20"/>
    </w:rPr>
  </w:style>
  <w:style w:type="paragraph" w:styleId="Xl71">
    <w:name w:val="xl71"/>
    <w:basedOn w:val="Normal"/>
    <w:qFormat/>
    <w:pPr>
      <w:pBdr>
        <w:top w:val="single" w:sz="4" w:space="0" w:color="808080"/>
        <w:left w:val="single" w:sz="4" w:space="0" w:color="808080"/>
        <w:bottom w:val="single" w:sz="4" w:space="0" w:color="808080"/>
        <w:right w:val="single" w:sz="4" w:space="0" w:color="808080"/>
      </w:pBdr>
      <w:spacing w:before="280" w:after="280"/>
      <w:textAlignment w:val="top"/>
    </w:pPr>
    <w:rPr>
      <w:sz w:val="20"/>
      <w:szCs w:val="20"/>
    </w:rPr>
  </w:style>
  <w:style w:type="paragraph" w:styleId="Xl72">
    <w:name w:val="xl72"/>
    <w:basedOn w:val="Normal"/>
    <w:qFormat/>
    <w:pPr>
      <w:pBdr>
        <w:top w:val="single" w:sz="4" w:space="0" w:color="808080"/>
        <w:left w:val="single" w:sz="4" w:space="0" w:color="808080"/>
        <w:bottom w:val="single" w:sz="4" w:space="0" w:color="808080"/>
        <w:right w:val="single" w:sz="4" w:space="0" w:color="808080"/>
      </w:pBdr>
      <w:spacing w:before="280" w:after="280"/>
      <w:jc w:val="center"/>
      <w:textAlignment w:val="top"/>
    </w:pPr>
    <w:rPr>
      <w:sz w:val="20"/>
      <w:szCs w:val="20"/>
    </w:rPr>
  </w:style>
  <w:style w:type="paragraph" w:styleId="Xl73">
    <w:name w:val="xl73"/>
    <w:basedOn w:val="Normal"/>
    <w:qFormat/>
    <w:pPr>
      <w:pBdr>
        <w:top w:val="single" w:sz="4" w:space="0" w:color="808080"/>
        <w:left w:val="single" w:sz="4" w:space="0" w:color="808080"/>
        <w:bottom w:val="single" w:sz="4" w:space="0" w:color="808080"/>
        <w:right w:val="single" w:sz="4" w:space="0" w:color="808080"/>
      </w:pBdr>
      <w:spacing w:before="280" w:after="280"/>
    </w:pPr>
    <w:rPr>
      <w:sz w:val="20"/>
      <w:szCs w:val="20"/>
    </w:rPr>
  </w:style>
  <w:style w:type="paragraph" w:styleId="Xl74">
    <w:name w:val="xl74"/>
    <w:basedOn w:val="Normal"/>
    <w:qFormat/>
    <w:pPr>
      <w:pBdr>
        <w:top w:val="single" w:sz="4" w:space="0" w:color="808080"/>
        <w:left w:val="single" w:sz="4" w:space="0" w:color="808080"/>
        <w:bottom w:val="single" w:sz="4" w:space="0" w:color="808080"/>
        <w:right w:val="single" w:sz="4" w:space="0" w:color="808080"/>
      </w:pBdr>
      <w:spacing w:before="280" w:after="280"/>
      <w:textAlignment w:val="top"/>
    </w:pPr>
    <w:rPr>
      <w:sz w:val="20"/>
      <w:szCs w:val="20"/>
    </w:rPr>
  </w:style>
  <w:style w:type="paragraph" w:styleId="Xl75">
    <w:name w:val="xl75"/>
    <w:basedOn w:val="Normal"/>
    <w:qFormat/>
    <w:pPr>
      <w:pBdr>
        <w:top w:val="single" w:sz="4" w:space="0" w:color="808080"/>
        <w:left w:val="single" w:sz="4" w:space="0" w:color="808080"/>
        <w:bottom w:val="single" w:sz="4" w:space="0" w:color="808080"/>
        <w:right w:val="single" w:sz="4" w:space="0" w:color="808080"/>
      </w:pBdr>
      <w:spacing w:before="280" w:after="280"/>
      <w:textAlignment w:val="center"/>
    </w:pPr>
    <w:rPr>
      <w:color w:val="000000"/>
      <w:sz w:val="20"/>
      <w:szCs w:val="20"/>
    </w:rPr>
  </w:style>
  <w:style w:type="paragraph" w:styleId="Xl76">
    <w:name w:val="xl76"/>
    <w:basedOn w:val="Normal"/>
    <w:qFormat/>
    <w:pPr>
      <w:pBdr>
        <w:top w:val="single" w:sz="4" w:space="0" w:color="808080"/>
        <w:left w:val="single" w:sz="4" w:space="0" w:color="808080"/>
        <w:bottom w:val="single" w:sz="4" w:space="0" w:color="808080"/>
        <w:right w:val="single" w:sz="4" w:space="0" w:color="808080"/>
      </w:pBdr>
      <w:shd w:val="clear" w:fill="D9D9D9"/>
      <w:spacing w:before="280" w:after="280"/>
      <w:jc w:val="center"/>
    </w:pPr>
    <w:rPr>
      <w:b/>
      <w:bCs/>
    </w:rPr>
  </w:style>
  <w:style w:type="paragraph" w:styleId="Xl77">
    <w:name w:val="xl77"/>
    <w:basedOn w:val="Normal"/>
    <w:qFormat/>
    <w:pPr>
      <w:pBdr>
        <w:top w:val="single" w:sz="4" w:space="0" w:color="808080"/>
        <w:left w:val="single" w:sz="4" w:space="0" w:color="808080"/>
        <w:bottom w:val="single" w:sz="4" w:space="0" w:color="808080"/>
        <w:right w:val="single" w:sz="4" w:space="0" w:color="808080"/>
      </w:pBdr>
      <w:shd w:val="clear" w:fill="D9D9D9"/>
      <w:spacing w:before="280" w:after="280"/>
    </w:pPr>
    <w:rPr>
      <w:b/>
      <w:bCs/>
    </w:rPr>
  </w:style>
  <w:style w:type="paragraph" w:styleId="Xl78">
    <w:name w:val="xl78"/>
    <w:basedOn w:val="Normal"/>
    <w:qFormat/>
    <w:pPr>
      <w:pBdr>
        <w:top w:val="single" w:sz="4" w:space="0" w:color="808080"/>
        <w:left w:val="single" w:sz="4" w:space="0" w:color="808080"/>
        <w:bottom w:val="single" w:sz="4" w:space="0" w:color="808080"/>
        <w:right w:val="single" w:sz="4" w:space="0" w:color="808080"/>
      </w:pBdr>
      <w:spacing w:before="280" w:after="280"/>
      <w:textAlignment w:val="top"/>
    </w:pPr>
    <w:rPr>
      <w:color w:val="000000"/>
      <w:sz w:val="20"/>
      <w:szCs w:val="20"/>
    </w:rPr>
  </w:style>
  <w:style w:type="paragraph" w:styleId="Xl79">
    <w:name w:val="xl79"/>
    <w:basedOn w:val="Normal"/>
    <w:qFormat/>
    <w:pPr>
      <w:pBdr>
        <w:top w:val="single" w:sz="4" w:space="0" w:color="808080"/>
        <w:left w:val="single" w:sz="4" w:space="0" w:color="808080"/>
        <w:bottom w:val="single" w:sz="4" w:space="0" w:color="808080"/>
        <w:right w:val="single" w:sz="4" w:space="0" w:color="808080"/>
      </w:pBdr>
      <w:spacing w:before="280" w:after="280"/>
    </w:pPr>
    <w:rPr>
      <w:color w:val="000000"/>
      <w:sz w:val="20"/>
      <w:szCs w:val="20"/>
    </w:rPr>
  </w:style>
  <w:style w:type="paragraph" w:styleId="Xl80">
    <w:name w:val="xl80"/>
    <w:basedOn w:val="Normal"/>
    <w:qFormat/>
    <w:pPr>
      <w:pBdr>
        <w:top w:val="single" w:sz="4" w:space="0" w:color="808080"/>
        <w:left w:val="single" w:sz="4" w:space="0" w:color="808080"/>
        <w:bottom w:val="single" w:sz="4" w:space="0" w:color="808080"/>
        <w:right w:val="single" w:sz="4" w:space="0" w:color="808080"/>
      </w:pBdr>
      <w:spacing w:before="280" w:after="280"/>
    </w:pPr>
    <w:rPr>
      <w:sz w:val="20"/>
      <w:szCs w:val="20"/>
    </w:rPr>
  </w:style>
  <w:style w:type="paragraph" w:styleId="Xl81">
    <w:name w:val="xl81"/>
    <w:basedOn w:val="Normal"/>
    <w:qFormat/>
    <w:pPr>
      <w:pBdr>
        <w:top w:val="single" w:sz="4" w:space="0" w:color="808080"/>
        <w:left w:val="single" w:sz="4" w:space="0" w:color="808080"/>
        <w:bottom w:val="single" w:sz="4" w:space="0" w:color="808080"/>
        <w:right w:val="single" w:sz="4" w:space="0" w:color="808080"/>
      </w:pBdr>
      <w:spacing w:before="280" w:after="280"/>
      <w:jc w:val="both"/>
      <w:textAlignment w:val="top"/>
    </w:pPr>
    <w:rPr>
      <w:sz w:val="20"/>
      <w:szCs w:val="20"/>
    </w:rPr>
  </w:style>
  <w:style w:type="paragraph" w:styleId="Xl82">
    <w:name w:val="xl82"/>
    <w:basedOn w:val="Normal"/>
    <w:qFormat/>
    <w:pPr>
      <w:pBdr>
        <w:top w:val="single" w:sz="4" w:space="0" w:color="808080"/>
        <w:left w:val="single" w:sz="4" w:space="0" w:color="808080"/>
        <w:bottom w:val="single" w:sz="4" w:space="0" w:color="808080"/>
        <w:right w:val="single" w:sz="4" w:space="0" w:color="808080"/>
      </w:pBdr>
      <w:spacing w:before="280" w:after="280"/>
      <w:textAlignment w:val="center"/>
    </w:pPr>
    <w:rPr>
      <w:color w:val="000000"/>
      <w:sz w:val="20"/>
      <w:szCs w:val="20"/>
    </w:rPr>
  </w:style>
  <w:style w:type="paragraph" w:styleId="Xl83">
    <w:name w:val="xl83"/>
    <w:basedOn w:val="Normal"/>
    <w:qFormat/>
    <w:pPr>
      <w:pBdr>
        <w:top w:val="single" w:sz="4" w:space="0" w:color="808080"/>
        <w:left w:val="single" w:sz="4" w:space="0" w:color="808080"/>
        <w:bottom w:val="single" w:sz="4" w:space="0" w:color="808080"/>
        <w:right w:val="single" w:sz="4" w:space="0" w:color="808080"/>
      </w:pBdr>
      <w:spacing w:before="280" w:after="280"/>
      <w:textAlignment w:val="top"/>
    </w:pPr>
    <w:rPr>
      <w:sz w:val="20"/>
      <w:szCs w:val="20"/>
    </w:rPr>
  </w:style>
  <w:style w:type="paragraph" w:styleId="Xl84">
    <w:name w:val="xl84"/>
    <w:basedOn w:val="Normal"/>
    <w:qFormat/>
    <w:pPr>
      <w:pBdr>
        <w:top w:val="single" w:sz="4" w:space="0" w:color="808080"/>
        <w:left w:val="single" w:sz="4" w:space="0" w:color="808080"/>
        <w:bottom w:val="single" w:sz="4" w:space="0" w:color="808080"/>
        <w:right w:val="single" w:sz="4" w:space="0" w:color="808080"/>
      </w:pBdr>
      <w:spacing w:before="280" w:after="280"/>
    </w:pPr>
    <w:rPr>
      <w:sz w:val="20"/>
      <w:szCs w:val="20"/>
    </w:rPr>
  </w:style>
  <w:style w:type="paragraph" w:styleId="Xl85">
    <w:name w:val="xl85"/>
    <w:basedOn w:val="Normal"/>
    <w:qFormat/>
    <w:pPr>
      <w:pBdr>
        <w:top w:val="single" w:sz="4" w:space="0" w:color="808080"/>
        <w:left w:val="single" w:sz="4" w:space="0" w:color="808080"/>
        <w:bottom w:val="single" w:sz="4" w:space="0" w:color="808080"/>
        <w:right w:val="single" w:sz="4" w:space="0" w:color="808080"/>
      </w:pBdr>
      <w:spacing w:before="280" w:after="280"/>
      <w:textAlignment w:val="center"/>
    </w:pPr>
    <w:rPr>
      <w:sz w:val="20"/>
      <w:szCs w:val="20"/>
    </w:rPr>
  </w:style>
  <w:style w:type="paragraph" w:styleId="Xl86">
    <w:name w:val="xl86"/>
    <w:basedOn w:val="Normal"/>
    <w:qFormat/>
    <w:pPr>
      <w:pBdr>
        <w:top w:val="single" w:sz="4" w:space="0" w:color="808080"/>
        <w:left w:val="single" w:sz="4" w:space="0" w:color="808080"/>
        <w:bottom w:val="single" w:sz="4" w:space="0" w:color="808080"/>
        <w:right w:val="single" w:sz="4" w:space="0" w:color="808080"/>
      </w:pBdr>
      <w:spacing w:before="280" w:after="280"/>
      <w:jc w:val="right"/>
      <w:textAlignment w:val="center"/>
    </w:pPr>
    <w:rPr>
      <w:color w:val="000000"/>
      <w:sz w:val="20"/>
      <w:szCs w:val="20"/>
    </w:rPr>
  </w:style>
  <w:style w:type="paragraph" w:styleId="Xl87">
    <w:name w:val="xl87"/>
    <w:basedOn w:val="Normal"/>
    <w:qFormat/>
    <w:pPr>
      <w:pBdr>
        <w:top w:val="single" w:sz="4" w:space="0" w:color="808080"/>
        <w:left w:val="single" w:sz="4" w:space="0" w:color="808080"/>
        <w:bottom w:val="single" w:sz="4" w:space="0" w:color="808080"/>
        <w:right w:val="single" w:sz="4" w:space="0" w:color="808080"/>
      </w:pBdr>
      <w:spacing w:before="280" w:after="280"/>
      <w:textAlignment w:val="center"/>
    </w:pPr>
    <w:rPr>
      <w:sz w:val="20"/>
      <w:szCs w:val="20"/>
    </w:rPr>
  </w:style>
  <w:style w:type="paragraph" w:styleId="Xl88">
    <w:name w:val="xl88"/>
    <w:basedOn w:val="Normal"/>
    <w:qFormat/>
    <w:pPr>
      <w:pBdr>
        <w:top w:val="single" w:sz="4" w:space="0" w:color="808080"/>
        <w:left w:val="single" w:sz="4" w:space="0" w:color="808080"/>
        <w:bottom w:val="single" w:sz="4" w:space="0" w:color="808080"/>
        <w:right w:val="single" w:sz="4" w:space="0" w:color="808080"/>
      </w:pBdr>
      <w:spacing w:before="280" w:after="280"/>
    </w:pPr>
    <w:rPr>
      <w:sz w:val="20"/>
      <w:szCs w:val="20"/>
    </w:rPr>
  </w:style>
  <w:style w:type="paragraph" w:styleId="Xl89">
    <w:name w:val="xl89"/>
    <w:basedOn w:val="Normal"/>
    <w:qFormat/>
    <w:pPr>
      <w:pBdr>
        <w:top w:val="single" w:sz="4" w:space="0" w:color="808080"/>
        <w:left w:val="single" w:sz="4" w:space="0" w:color="808080"/>
        <w:bottom w:val="single" w:sz="4" w:space="0" w:color="808080"/>
        <w:right w:val="single" w:sz="4" w:space="0" w:color="808080"/>
      </w:pBdr>
      <w:spacing w:before="280" w:after="280"/>
      <w:textAlignment w:val="center"/>
    </w:pPr>
    <w:rPr>
      <w:sz w:val="20"/>
      <w:szCs w:val="20"/>
    </w:rPr>
  </w:style>
  <w:style w:type="paragraph" w:styleId="Xl90">
    <w:name w:val="xl90"/>
    <w:basedOn w:val="Normal"/>
    <w:qFormat/>
    <w:pPr>
      <w:pBdr>
        <w:top w:val="single" w:sz="4" w:space="0" w:color="808080"/>
        <w:left w:val="single" w:sz="4" w:space="0" w:color="808080"/>
        <w:bottom w:val="single" w:sz="4" w:space="0" w:color="808080"/>
        <w:right w:val="single" w:sz="4" w:space="0" w:color="808080"/>
      </w:pBdr>
      <w:shd w:val="clear" w:fill="D9D9D9"/>
      <w:spacing w:before="280" w:after="280"/>
      <w:jc w:val="center"/>
      <w:textAlignment w:val="center"/>
    </w:pPr>
    <w:rPr>
      <w:b/>
      <w:bCs/>
      <w:color w:val="000000"/>
    </w:rPr>
  </w:style>
  <w:style w:type="paragraph" w:styleId="Xl91">
    <w:name w:val="xl91"/>
    <w:basedOn w:val="Normal"/>
    <w:qFormat/>
    <w:pPr>
      <w:pBdr>
        <w:top w:val="single" w:sz="4" w:space="0" w:color="808080"/>
        <w:left w:val="single" w:sz="4" w:space="0" w:color="808080"/>
        <w:bottom w:val="single" w:sz="4" w:space="0" w:color="808080"/>
        <w:right w:val="single" w:sz="4" w:space="0" w:color="808080"/>
      </w:pBdr>
      <w:shd w:val="clear" w:fill="D9D9D9"/>
      <w:spacing w:before="280" w:after="280"/>
      <w:textAlignment w:val="center"/>
    </w:pPr>
    <w:rPr>
      <w:b/>
      <w:bCs/>
      <w:color w:val="000000"/>
    </w:rPr>
  </w:style>
  <w:style w:type="paragraph" w:styleId="Xl92">
    <w:name w:val="xl92"/>
    <w:basedOn w:val="Normal"/>
    <w:qFormat/>
    <w:pPr>
      <w:pBdr>
        <w:top w:val="single" w:sz="4" w:space="0" w:color="808080"/>
        <w:left w:val="single" w:sz="4" w:space="0" w:color="808080"/>
        <w:bottom w:val="single" w:sz="4" w:space="0" w:color="808080"/>
        <w:right w:val="single" w:sz="4" w:space="0" w:color="808080"/>
      </w:pBdr>
      <w:spacing w:before="280" w:after="280"/>
      <w:textAlignment w:val="top"/>
    </w:pPr>
    <w:rPr>
      <w:color w:val="000000"/>
      <w:sz w:val="20"/>
      <w:szCs w:val="20"/>
    </w:rPr>
  </w:style>
  <w:style w:type="paragraph" w:styleId="Xl93">
    <w:name w:val="xl93"/>
    <w:basedOn w:val="Normal"/>
    <w:qFormat/>
    <w:pPr>
      <w:pBdr>
        <w:top w:val="single" w:sz="4" w:space="0" w:color="808080"/>
        <w:left w:val="single" w:sz="4" w:space="0" w:color="808080"/>
        <w:bottom w:val="single" w:sz="4" w:space="0" w:color="808080"/>
        <w:right w:val="single" w:sz="4" w:space="0" w:color="808080"/>
      </w:pBdr>
      <w:spacing w:before="280" w:after="280"/>
      <w:jc w:val="center"/>
      <w:textAlignment w:val="center"/>
    </w:pPr>
    <w:rPr>
      <w:sz w:val="20"/>
      <w:szCs w:val="20"/>
    </w:rPr>
  </w:style>
  <w:style w:type="paragraph" w:styleId="Xl94">
    <w:name w:val="xl94"/>
    <w:basedOn w:val="Normal"/>
    <w:qFormat/>
    <w:pPr>
      <w:pBdr>
        <w:top w:val="single" w:sz="4" w:space="0" w:color="808080"/>
        <w:left w:val="single" w:sz="4" w:space="0" w:color="808080"/>
        <w:bottom w:val="single" w:sz="4" w:space="0" w:color="808080"/>
        <w:right w:val="single" w:sz="4" w:space="0" w:color="808080"/>
      </w:pBdr>
      <w:shd w:val="clear" w:fill="FFFFFF"/>
      <w:spacing w:before="280" w:after="280"/>
      <w:jc w:val="center"/>
      <w:textAlignment w:val="center"/>
    </w:pPr>
    <w:rPr/>
  </w:style>
  <w:style w:type="paragraph" w:styleId="Style331">
    <w:name w:val="Style33"/>
    <w:basedOn w:val="Normal"/>
    <w:qFormat/>
    <w:pPr>
      <w:widowControl w:val="false"/>
      <w:spacing w:lineRule="exact" w:line="230"/>
    </w:pPr>
    <w:rPr/>
  </w:style>
  <w:style w:type="paragraph" w:styleId="Style54">
    <w:name w:val="Текст примечания"/>
    <w:basedOn w:val="Normal"/>
    <w:qFormat/>
    <w:pPr/>
    <w:rPr>
      <w:sz w:val="20"/>
      <w:szCs w:val="20"/>
    </w:rPr>
  </w:style>
  <w:style w:type="paragraph" w:styleId="Style55">
    <w:name w:val="Тема примечания"/>
    <w:basedOn w:val="Style54"/>
    <w:qFormat/>
    <w:pPr/>
    <w:rPr>
      <w:b/>
      <w:bCs/>
    </w:rPr>
  </w:style>
  <w:style w:type="paragraph" w:styleId="Style56">
    <w:name w:val="Footnote Text"/>
    <w:basedOn w:val="Normal"/>
    <w:pPr>
      <w:ind w:left="0" w:right="0" w:firstLine="709"/>
      <w:jc w:val="both"/>
    </w:pPr>
    <w:rPr>
      <w:szCs w:val="20"/>
    </w:rPr>
  </w:style>
  <w:style w:type="paragraph" w:styleId="Style57">
    <w:name w:val="Заголовок таблицы"/>
    <w:basedOn w:val="Style51"/>
    <w:qFormat/>
    <w:pPr>
      <w:suppressLineNumbers/>
      <w:jc w:val="center"/>
    </w:pPr>
    <w:rPr>
      <w:b/>
      <w:bCs/>
    </w:rPr>
  </w:style>
  <w:style w:type="paragraph" w:styleId="ConsNormal">
    <w:name w:val="ConsNormal"/>
    <w:qFormat/>
    <w:pPr>
      <w:widowControl/>
      <w:suppressAutoHyphens w:val="true"/>
      <w:overflowPunct w:val="true"/>
      <w:bidi w:val="0"/>
      <w:spacing w:lineRule="auto" w:line="240" w:before="0" w:after="0"/>
      <w:jc w:val="both"/>
    </w:pPr>
    <w:rPr>
      <w:rFonts w:ascii="Courier New" w:hAnsi="Courier New" w:eastAsia="Times New Roman" w:cs="Courier New"/>
      <w:color w:val="00000A"/>
      <w:sz w:val="20"/>
      <w:szCs w:val="20"/>
      <w:lang w:val="ru-RU" w:eastAsia="ru-RU" w:bidi="ar-SA"/>
    </w:rPr>
  </w:style>
  <w:style w:type="paragraph" w:styleId="NormalWeb">
    <w:name w:val="Normal (Web)"/>
    <w:basedOn w:val="Normal"/>
    <w:qFormat/>
    <w:pPr>
      <w:suppressAutoHyphens w:val="false"/>
      <w:spacing w:lineRule="auto" w:line="240" w:before="280" w:after="280"/>
    </w:pPr>
    <w:rPr>
      <w:rFonts w:ascii="Times New Roman" w:hAnsi="Times New Roman" w:cs="Times New Roman"/>
      <w:sz w:val="24"/>
      <w:szCs w:val="24"/>
      <w:lang w:eastAsia="ru-RU"/>
    </w:rPr>
  </w:style>
  <w:style w:type="numbering" w:styleId="WW8Num1">
    <w:name w:val="WW8Num1"/>
    <w:qFormat/>
  </w:style>
  <w:style w:type="numbering" w:styleId="WW8Num2">
    <w:name w:val="WW8Num2"/>
    <w:qFormat/>
  </w:style>
  <w:style w:type="numbering" w:styleId="WW8Num3">
    <w:name w:val="WW8Num3"/>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183</TotalTime>
  <Application>LibreOffice/5.3.6.1$Linux_X86_64 LibreOffice_project/30$Build-1</Application>
  <Pages>8</Pages>
  <Words>2565</Words>
  <Characters>18666</Characters>
  <CharactersWithSpaces>21383</CharactersWithSpaces>
  <Paragraphs>190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2023-11-09T07:56:00Z</dcterms:created>
  <dc:creator>user1</dc:creator>
  <dc:description/>
  <dc:language>ru-RU</dc:language>
  <cp:lastModifiedBy/>
  <cp:lastPrinted>2023-10-18T08:25:00Z</cp:lastPrinted>
  <dcterms:modified xsi:type="dcterms:W3CDTF">2026-09-02T09:26:16Z</dcterms:modified>
  <cp:revision>45</cp:revision>
  <dc:subject/>
  <dc:title>О Т К Р Ы Т О Е    А К Ц И О Н Е Р Н О Е     О Б Щ Е С Т В О</dc:title>
</cp:coreProperties>
</file>